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211AF9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49746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1AFC49F3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BADA9F2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144"/>
          <w:szCs w:val="144"/>
        </w:rPr>
        <w:t>“</w:t>
      </w:r>
      <w:r>
        <w:rPr>
          <w:rFonts w:hint="eastAsia" w:ascii="黑体" w:hAnsi="楷体" w:eastAsia="黑体"/>
          <w:b/>
          <w:sz w:val="144"/>
          <w:szCs w:val="144"/>
          <w:lang w:val="en-US" w:eastAsia="zh-CN"/>
        </w:rPr>
        <w:t>管理会计</w:t>
      </w:r>
      <w:r>
        <w:rPr>
          <w:rFonts w:hint="eastAsia" w:ascii="黑体" w:hAnsi="楷体" w:eastAsia="黑体"/>
          <w:b/>
          <w:sz w:val="144"/>
          <w:szCs w:val="144"/>
        </w:rPr>
        <w:t>”</w:t>
      </w:r>
    </w:p>
    <w:p w14:paraId="305D8B5F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0FB888EA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356944D6">
      <w:pPr>
        <w:ind w:firstLine="560"/>
      </w:pPr>
    </w:p>
    <w:p w14:paraId="228298B1"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2BC4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72874B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3611CBE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3C8EEDB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80246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0501128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5319F97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70C70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D4143B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BD03CB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B53163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83469C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0DCA9D5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1039064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1E8F6528">
      <w:pPr>
        <w:ind w:firstLine="0" w:firstLineChars="0"/>
      </w:pPr>
    </w:p>
    <w:p w14:paraId="7E28658D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6ECCD1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4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4</w:t>
      </w:r>
      <w:r>
        <w:rPr>
          <w:b/>
          <w:bCs/>
          <w:kern w:val="36"/>
          <w:sz w:val="36"/>
          <w:szCs w:val="36"/>
        </w:rPr>
        <w:t>月</w:t>
      </w:r>
    </w:p>
    <w:p w14:paraId="427AD3B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7D19619B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51C26BBF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2AAC6291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24E28E5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7B83B952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76980B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57BC4F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28404BCA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5A85B3A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6C0878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031D1101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0D22129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6F30837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330AE83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6DA3A1FE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98A7546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0FC1DCC5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1B3F18F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EAE1D7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8AE291D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C6C1C2C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4A818745">
      <w:pPr>
        <w:pStyle w:val="2"/>
        <w:ind w:firstLine="653"/>
      </w:pPr>
      <w:bookmarkStart w:id="0" w:name="_Toc502337258"/>
      <w:bookmarkStart w:id="1" w:name="_Toc2179"/>
      <w:bookmarkStart w:id="2" w:name="_Toc10917"/>
      <w:bookmarkStart w:id="3" w:name="_Toc8847"/>
      <w:bookmarkStart w:id="4" w:name="_Toc16819"/>
      <w:bookmarkStart w:id="5" w:name="_Toc246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662F4040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2DEFF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0BD7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0DBB1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8D2E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F5A82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67451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7EAD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9DCFA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F419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84A89B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619DE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E6A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7141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BA0D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36E937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12B53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72E73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DD954C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 w14:paraId="4DCAA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53AB3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69BED5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1D8A3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58A2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D272C8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</w:tbl>
    <w:p w14:paraId="596DFAC2"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10ACCA73">
      <w:pPr>
        <w:ind w:firstLine="560"/>
        <w:rPr>
          <w:rFonts w:hint="eastAsia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管理会计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大数据会计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专业必修</w:t>
      </w:r>
      <w:r>
        <w:rPr>
          <w:rFonts w:hint="eastAsia"/>
        </w:rPr>
        <w:t>课，本课程全面贯彻党的教育方针，落实立德树人根本任务，培养学生勇于创新的精神和</w:t>
      </w:r>
      <w:r>
        <w:rPr>
          <w:rFonts w:hint="eastAsia"/>
          <w:lang w:val="en-US" w:eastAsia="zh-CN"/>
        </w:rPr>
        <w:t>专业</w:t>
      </w:r>
      <w:r>
        <w:rPr>
          <w:rFonts w:hint="eastAsia"/>
        </w:rPr>
        <w:t>能力，提升学生</w:t>
      </w:r>
      <w:r>
        <w:rPr>
          <w:rFonts w:hint="eastAsia"/>
          <w:lang w:val="en-US" w:eastAsia="zh-CN"/>
        </w:rPr>
        <w:t>管理</w:t>
      </w:r>
      <w:r>
        <w:rPr>
          <w:rFonts w:hint="eastAsia"/>
        </w:rPr>
        <w:t>意识和较强的项目实操能力，达到使学生具备较强的</w:t>
      </w:r>
      <w:r>
        <w:rPr>
          <w:rFonts w:hint="eastAsia"/>
          <w:lang w:val="en-US" w:eastAsia="zh-CN"/>
        </w:rPr>
        <w:t>管理</w:t>
      </w:r>
      <w:r>
        <w:rPr>
          <w:rFonts w:hint="eastAsia"/>
        </w:rPr>
        <w:t>思维和</w:t>
      </w:r>
      <w:r>
        <w:rPr>
          <w:rFonts w:hint="eastAsia"/>
          <w:lang w:val="en-US" w:eastAsia="zh-CN"/>
        </w:rPr>
        <w:t>会计系统</w:t>
      </w:r>
      <w:r>
        <w:rPr>
          <w:rFonts w:hint="eastAsia"/>
        </w:rPr>
        <w:t>操作的任务。</w:t>
      </w:r>
    </w:p>
    <w:p w14:paraId="2D2C247B">
      <w:pPr>
        <w:ind w:firstLine="560"/>
        <w:rPr>
          <w:color w:val="FF0000"/>
        </w:rPr>
      </w:pPr>
      <w:r>
        <w:rPr>
          <w:rFonts w:hint="eastAsia"/>
        </w:rPr>
        <w:t>通过本课程教学，使学生</w:t>
      </w:r>
      <w:r>
        <w:rPr>
          <w:rFonts w:hint="eastAsia"/>
          <w:lang w:val="en-US" w:eastAsia="zh-CN"/>
        </w:rPr>
        <w:t>能够理解管理会计的基本理论、掌握管理会计的基本技能，能够较熟练的运用有关管理会计工具方法，</w:t>
      </w:r>
      <w:r>
        <w:rPr>
          <w:rFonts w:hint="eastAsia"/>
        </w:rPr>
        <w:t>具备</w:t>
      </w:r>
      <w:r>
        <w:rPr>
          <w:rFonts w:hint="eastAsia"/>
          <w:lang w:val="en-US" w:eastAsia="zh-CN"/>
        </w:rPr>
        <w:t>预算管理</w:t>
      </w:r>
      <w:r>
        <w:rPr>
          <w:rFonts w:hint="eastAsia"/>
        </w:rPr>
        <w:t>、</w:t>
      </w:r>
      <w:r>
        <w:rPr>
          <w:rFonts w:hint="eastAsia"/>
          <w:lang w:val="en-US" w:eastAsia="zh-CN"/>
        </w:rPr>
        <w:t>成本管理</w:t>
      </w:r>
      <w:r>
        <w:rPr>
          <w:rFonts w:hint="eastAsia"/>
        </w:rPr>
        <w:t>.、</w:t>
      </w:r>
      <w:r>
        <w:rPr>
          <w:rFonts w:hint="eastAsia"/>
          <w:lang w:val="en-US" w:eastAsia="zh-CN"/>
        </w:rPr>
        <w:t>营运管理及绩效管理</w:t>
      </w:r>
      <w:r>
        <w:rPr>
          <w:rFonts w:hint="eastAsia"/>
        </w:rPr>
        <w:t>等</w:t>
      </w:r>
      <w:r>
        <w:rPr>
          <w:rFonts w:hint="eastAsia"/>
          <w:lang w:val="en-US" w:eastAsia="zh-CN"/>
        </w:rPr>
        <w:t>能力</w:t>
      </w:r>
      <w:r>
        <w:rPr>
          <w:rFonts w:hint="eastAsia"/>
        </w:rPr>
        <w:t>，</w:t>
      </w:r>
      <w:r>
        <w:rPr>
          <w:rFonts w:hint="eastAsia"/>
          <w:lang w:val="en-US" w:eastAsia="zh-CN"/>
        </w:rPr>
        <w:t>能对企业的经济活动进行管理，</w:t>
      </w:r>
      <w:r>
        <w:rPr>
          <w:rFonts w:hint="eastAsia"/>
        </w:rPr>
        <w:t>提高学生在</w:t>
      </w:r>
      <w:r>
        <w:rPr>
          <w:rFonts w:hint="eastAsia"/>
          <w:lang w:val="en-US" w:eastAsia="zh-CN"/>
        </w:rPr>
        <w:t>管理</w:t>
      </w:r>
      <w:r>
        <w:rPr>
          <w:rFonts w:hint="eastAsia"/>
        </w:rPr>
        <w:t>过程中分析问题和解决问题的能力，以便使学生实现从学校到社会的平稳过渡。</w:t>
      </w:r>
    </w:p>
    <w:p w14:paraId="1FAC61B2">
      <w:pPr>
        <w:ind w:firstLine="560"/>
        <w:rPr>
          <w:color w:val="FF0000"/>
        </w:rPr>
      </w:pPr>
    </w:p>
    <w:p w14:paraId="621E819A"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bookmarkEnd w:id="10"/>
    <w:p w14:paraId="0050DFED">
      <w:pPr>
        <w:ind w:firstLine="560"/>
      </w:pPr>
      <w:bookmarkStart w:id="11" w:name="_Toc24423"/>
      <w:bookmarkStart w:id="12" w:name="_Toc11296"/>
      <w:r>
        <w:rPr>
          <w:rFonts w:hint="eastAsia"/>
        </w:rPr>
        <w:t>完成本课程学习后，学生应当具有以下素质、知识和能力：</w:t>
      </w:r>
    </w:p>
    <w:p w14:paraId="74C01ABB">
      <w:pPr>
        <w:pStyle w:val="3"/>
        <w:numPr>
          <w:ilvl w:val="0"/>
          <w:numId w:val="2"/>
        </w:numPr>
        <w:ind w:firstLine="560"/>
      </w:pPr>
      <w:bookmarkStart w:id="13" w:name="_Toc1453"/>
      <w:bookmarkStart w:id="14" w:name="_Toc90472987"/>
      <w:bookmarkStart w:id="15" w:name="_Toc7412"/>
      <w:r>
        <w:rPr>
          <w:rFonts w:hint="eastAsia"/>
        </w:rPr>
        <w:t>素质目标</w:t>
      </w:r>
      <w:bookmarkEnd w:id="13"/>
      <w:bookmarkEnd w:id="14"/>
      <w:bookmarkEnd w:id="15"/>
      <w:bookmarkStart w:id="16" w:name="_Toc502337264"/>
    </w:p>
    <w:p w14:paraId="5F6672FD">
      <w:pPr>
        <w:keepNext w:val="0"/>
        <w:keepLines w:val="0"/>
        <w:widowControl/>
        <w:suppressLineNumbers w:val="0"/>
        <w:jc w:val="left"/>
      </w:pPr>
      <w:bookmarkStart w:id="17" w:name="_Toc1104"/>
      <w:bookmarkStart w:id="18" w:name="_Toc24734"/>
      <w:bookmarkStart w:id="19" w:name="_Toc90472988"/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⑴具备一定的逻辑思维能力和管理决策能力； </w:t>
      </w:r>
    </w:p>
    <w:p w14:paraId="69D2455C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⑵具备与决策者和其它相关人员沟通的能力； </w:t>
      </w:r>
    </w:p>
    <w:p w14:paraId="4A34F52F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⑶具备良好地思想品德素质，做到思想健康、品德优良； </w:t>
      </w:r>
    </w:p>
    <w:p w14:paraId="759447F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⑷具有团结协作的精神和严谨认真的工作作风， 能做好企业管理当局对企业管理的参谋。</w:t>
      </w:r>
    </w:p>
    <w:p w14:paraId="7814B202">
      <w:pPr>
        <w:pStyle w:val="3"/>
        <w:numPr>
          <w:ilvl w:val="0"/>
          <w:numId w:val="2"/>
        </w:numPr>
        <w:ind w:firstLine="560"/>
      </w:pPr>
      <w:r>
        <w:rPr>
          <w:rFonts w:hint="eastAsia"/>
        </w:rPr>
        <w:t>知识目标</w:t>
      </w:r>
      <w:bookmarkEnd w:id="16"/>
      <w:bookmarkEnd w:id="17"/>
      <w:bookmarkEnd w:id="18"/>
      <w:bookmarkEnd w:id="19"/>
      <w:bookmarkStart w:id="20" w:name="_Toc502337265"/>
    </w:p>
    <w:p w14:paraId="7E829DD7">
      <w:pPr>
        <w:keepNext w:val="0"/>
        <w:keepLines w:val="0"/>
        <w:widowControl/>
        <w:suppressLineNumbers w:val="0"/>
        <w:jc w:val="left"/>
      </w:pPr>
      <w:bookmarkStart w:id="21" w:name="_Toc12623"/>
      <w:bookmarkStart w:id="22" w:name="_Toc30755"/>
      <w:bookmarkStart w:id="23" w:name="_Toc90472989"/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⑴了解中西方管理会计的产生和发展历程， 并充分认识到经济越发展， 管理 </w:t>
      </w:r>
    </w:p>
    <w:p w14:paraId="5CB3B255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会计越重要的含义； </w:t>
      </w:r>
    </w:p>
    <w:p w14:paraId="5D624288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⑵熟悉我国管理会计体系的内容； </w:t>
      </w:r>
    </w:p>
    <w:p w14:paraId="1ED0CBC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⑶熟悉预算管理的含义、原则、工具方法、应用环境等基本知识； 掌握预算的类型及其编制的方法； </w:t>
      </w:r>
    </w:p>
    <w:p w14:paraId="6F196E41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⑷熟悉成本的概念， 了解成本的不同分类； 熟悉掌握成本管理领域应用的工具方法； </w:t>
      </w:r>
    </w:p>
    <w:p w14:paraId="5AD9C938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⑸理解本量利分析的基本原理，掌握保本点分析和目标利润管理的方法； </w:t>
      </w:r>
    </w:p>
    <w:p w14:paraId="5C81070E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⑹熟悉绩效管理的原则及应用环境， 掌握关键绩效指标法的计算和应用，掌握经济增加和平衡计分卡的基本原理和应用。</w:t>
      </w:r>
    </w:p>
    <w:p w14:paraId="34E25A34">
      <w:pPr>
        <w:pStyle w:val="3"/>
        <w:numPr>
          <w:ilvl w:val="0"/>
          <w:numId w:val="2"/>
        </w:numPr>
        <w:ind w:firstLine="560"/>
      </w:pPr>
      <w:r>
        <w:rPr>
          <w:rFonts w:hint="eastAsia"/>
        </w:rPr>
        <w:t>能力目标</w:t>
      </w:r>
      <w:bookmarkEnd w:id="20"/>
      <w:bookmarkEnd w:id="21"/>
      <w:bookmarkEnd w:id="22"/>
      <w:bookmarkEnd w:id="23"/>
    </w:p>
    <w:p w14:paraId="73EB96B5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⑴能够充分认识到管理会计的重要性，积极宣传和推动管理会计工作； </w:t>
      </w:r>
    </w:p>
    <w:p w14:paraId="51827811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⑵能熟悉我国管理会计概念框架体系； </w:t>
      </w:r>
    </w:p>
    <w:p w14:paraId="284E4FBF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⑶能树立正确的职业道德观，为以后从事管理会计工作奠定素质基础； </w:t>
      </w:r>
    </w:p>
    <w:p w14:paraId="47655BE8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⑷能够运用预算编制原理和方法，编制各种预算； </w:t>
      </w:r>
    </w:p>
    <w:p w14:paraId="4BC9B0B3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5. 能运用 Python 自动化脚本处理预算数据，掌握 UiPath 工具完成成本核算流程自动化；</w:t>
      </w:r>
      <w:r>
        <w:rPr>
          <w:rFonts w:hint="default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br w:type="textWrapping"/>
      </w:r>
      <w:r>
        <w:rPr>
          <w:rFonts w:hint="default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6. 能基于金税四期系统规则，识别税务风险数据并提出应对方案；</w:t>
      </w:r>
      <w:r>
        <w:rPr>
          <w:rFonts w:hint="default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br w:type="textWrapping"/>
      </w:r>
      <w:r>
        <w:rPr>
          <w:rFonts w:hint="default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7. 能使用区块链存证工具处理电子会计档案。</w:t>
      </w:r>
    </w:p>
    <w:p w14:paraId="1CB9A4D5">
      <w:pPr>
        <w:pStyle w:val="2"/>
        <w:ind w:firstLine="653"/>
      </w:pPr>
      <w:r>
        <w:rPr>
          <w:rFonts w:hint="eastAsia"/>
        </w:rPr>
        <w:t>四、课程职业能力分析</w:t>
      </w:r>
      <w:bookmarkEnd w:id="11"/>
      <w:bookmarkEnd w:id="12"/>
    </w:p>
    <w:p w14:paraId="18F53867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4"/>
        <w:tblpPr w:leftFromText="180" w:rightFromText="180" w:vertAnchor="text" w:horzAnchor="page" w:tblpX="1675" w:tblpY="1088"/>
        <w:tblOverlap w:val="never"/>
        <w:tblW w:w="91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 w14:paraId="7EDDB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37A1CA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0D21E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D93C72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6BD025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62C1F1FE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09B00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277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0DEBF4B0"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t>财务分析师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B823A"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</w:rPr>
            </w:pPr>
            <w:r>
              <w:t>财务报表分析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E76EB1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收集整理企业财务报表数据，运用比率分析、趋势分析等方法评估企业财务状况与经营成果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C9CF5B4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熟练运用数据分析工具如 Excel 高级功能（数据透视表、函数等）；掌握财务分析方法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top"/>
          </w:tcPr>
          <w:p w14:paraId="6EC43BDE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财务报表构成及编制原理；各类财务比率计算与解读；财务分析框架</w:t>
            </w:r>
          </w:p>
        </w:tc>
      </w:tr>
      <w:tr w14:paraId="48E6B1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277" w:type="dxa"/>
            <w:vMerge w:val="continue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6807B5E6">
            <w:pPr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13225B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财务预测与决策支持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F661F8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依据历史数据和市场趋势对企业未来财务状况进行预测，为管理层战略决策提供财务建议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622DE2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预测模型构建能力（如时间序列分析模型）；敏锐的市场洞察力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top"/>
          </w:tcPr>
          <w:p w14:paraId="485DB550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成本性态分析；本量利分析；资金时间价值；风险评估与决策方法</w:t>
            </w:r>
          </w:p>
        </w:tc>
      </w:tr>
      <w:tr w14:paraId="1C5F43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3F0D0B32">
            <w:pPr>
              <w:ind w:firstLine="0" w:firstLineChars="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t>成本控制专员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D3209B5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成本核算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E4E7F0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确定成本核算对象，选择合适核算方法（如品种法、分批法、分步法），准确核算产品或服务成本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37450">
            <w:pPr>
              <w:pStyle w:val="32"/>
              <w:widowControl w:val="0"/>
            </w:pPr>
            <w:r>
              <w:t>成本核算流程操作；间接成本分摊技巧</w:t>
            </w:r>
          </w:p>
          <w:p w14:paraId="4639A4D7">
            <w:pPr>
              <w:pStyle w:val="32"/>
              <w:widowControl w:val="0"/>
            </w:pPr>
            <w:r>
              <w:t>制定成本控制标准，监控成本执行情况，分析成本差异原因并提出改进措施</w:t>
            </w:r>
          </w:p>
          <w:p w14:paraId="091163BA">
            <w:pPr>
              <w:pStyle w:val="28"/>
              <w:tabs>
                <w:tab w:val="left" w:pos="546"/>
              </w:tabs>
              <w:spacing w:before="3" w:line="242" w:lineRule="auto"/>
              <w:ind w:right="-15"/>
              <w:jc w:val="both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top"/>
          </w:tcPr>
          <w:p w14:paraId="09BF8843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成本分类；成本核算方法原理与应用场景</w:t>
            </w:r>
          </w:p>
        </w:tc>
      </w:tr>
      <w:tr w14:paraId="3FF49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vMerge w:val="continue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21ED4050">
            <w:pPr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7FD9F59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成本控制与分析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067348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制定成本控制标准，监控成本执行情况，分析成本差异原因并提出改进措施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13DB12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成本控制制度执行能力；差异分析技巧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top"/>
          </w:tcPr>
          <w:p w14:paraId="25D29183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成本控制原则与方法；变动成本法与完全成本法区别</w:t>
            </w:r>
          </w:p>
        </w:tc>
      </w:tr>
      <w:tr w14:paraId="14AE5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vMerge w:val="restart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F13FA0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  <w:r>
              <w:t>预算主管</w:t>
            </w: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0D6041A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预算编制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5FA7249">
            <w:pPr>
              <w:pStyle w:val="32"/>
              <w:widowControl w:val="0"/>
              <w:ind w:left="0" w:leftChars="0"/>
              <w:rPr>
                <w:rFonts w:ascii="仿宋_GB2312" w:hAnsi="Times New Roman" w:eastAsia="仿宋_GB2312"/>
                <w:sz w:val="24"/>
                <w:szCs w:val="24"/>
              </w:rPr>
            </w:pPr>
            <w:r>
              <w:t>组织各部门编制预算，汇总形成企业全面预算，协调预算目标与战略规划一致性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29B54B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预算编制流程把控；沟通协调能力；预算编制软件操作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top"/>
          </w:tcPr>
          <w:p w14:paraId="52D9E8A3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预算体系构成；各类预算编制方法（零基预算、滚动预算等）</w:t>
            </w:r>
          </w:p>
        </w:tc>
      </w:tr>
      <w:tr w14:paraId="4BB8B3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vMerge w:val="continue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3DC80DF">
            <w:pPr>
              <w:spacing w:line="240" w:lineRule="auto"/>
              <w:ind w:firstLine="480"/>
              <w:jc w:val="center"/>
              <w:rPr>
                <w:rFonts w:ascii="仿宋_GB2312" w:hAnsi="仿宋_GB2312" w:cs="仿宋_GB2312"/>
                <w:color w:val="000000"/>
                <w:sz w:val="24"/>
                <w:szCs w:val="24"/>
                <w:highlight w:val="yellow"/>
              </w:rPr>
            </w:pP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C2D83F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预算监控与调整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5E2413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跟踪预算执行进度，对比实际与预算差异，根据内外部环境变化适时调整预算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D38047B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预算执行监控方法运用；差异分析与处理能力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top"/>
          </w:tcPr>
          <w:p w14:paraId="779A2289">
            <w:pPr>
              <w:pStyle w:val="32"/>
              <w:widowControl w:val="0"/>
              <w:ind w:left="0" w:leftChars="0"/>
              <w:rPr>
                <w:rFonts w:ascii="Arial" w:hAnsi="Arial" w:eastAsia="等线" w:cs="Arial"/>
                <w:sz w:val="22"/>
                <w:szCs w:val="22"/>
              </w:rPr>
            </w:pPr>
            <w:r>
              <w:t>预算调整原则与程序；预算执行考核指标设计</w:t>
            </w:r>
          </w:p>
        </w:tc>
      </w:tr>
    </w:tbl>
    <w:p w14:paraId="0AD65DD3">
      <w:pPr>
        <w:pStyle w:val="2"/>
        <w:ind w:firstLine="560"/>
      </w:pPr>
      <w:bookmarkStart w:id="24" w:name="_Toc30005"/>
      <w:bookmarkStart w:id="25" w:name="_Toc27541"/>
      <w:bookmarkStart w:id="26" w:name="_Toc502337266"/>
      <w:r>
        <w:rPr>
          <w:rFonts w:hint="eastAsia"/>
        </w:rPr>
        <w:t>五、课程设计思路</w:t>
      </w:r>
      <w:bookmarkEnd w:id="24"/>
      <w:bookmarkEnd w:id="25"/>
    </w:p>
    <w:bookmarkEnd w:id="26"/>
    <w:p w14:paraId="771FDE3C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spacing w:before="336" w:beforeAutospacing="0" w:after="144" w:afterAutospacing="0" w:line="336" w:lineRule="atLeast"/>
        <w:ind w:left="0" w:firstLine="0"/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bookmarkStart w:id="27" w:name="_Toc8844"/>
      <w:bookmarkStart w:id="28" w:name="_Toc11466"/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教学路径设计</w:t>
      </w: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：</w:t>
      </w:r>
    </w:p>
    <w:p w14:paraId="4C508C7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1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理论知识讲解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：系统阐述管理会计的基本概念、方法和工具，如成本性态分析、本量利分析、预算编制、成本控制等。通过课堂讲授、案例分析等方式，帮助学生掌握管理会计的核心理论知识。例如，在讲解成本性态分析时，结合企业实际案例，分析不同成本项目与业务量之间的关系，让学生理解固定成本、变动成本和混合成本的特点和区分方法。</w:t>
      </w:r>
    </w:p>
    <w:p w14:paraId="7086CC4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实践教学环节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：安排实验课程和企业实习，让学生将理论知识应用于实际问题的解决。实验课程可以使用专业的管理会计软件，让学生进行预算编制、成本核算等操作。企业实习则让学生深入了解企业的管理会计实践，参与企业的成本控制、绩效评价等工作。例如，组织学生到企业财务部门实习，参与企业的月度成本分析会议，了解成本控制的实际流程和方法。</w:t>
      </w:r>
    </w:p>
    <w:p w14:paraId="13C82E5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小组项目学习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：布置小组项目，让学生以小组为单位完成一个管理会计相关的项目，如企业成本管理方案设计、绩效评价体系构建等。通过小组合作，培养学生的团队协作能力、沟通能力和解决问题的能力。例如，给定一个企业的背景资料，让学生小组设计一套适合该企业的成本管理方案，包括成本核算方法的选择、成本控制措施的制定等，并在课堂上进行汇报和展示。</w:t>
      </w:r>
    </w:p>
    <w:p w14:paraId="67CB1DE6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spacing w:before="336" w:beforeAutospacing="0" w:after="144" w:afterAutospacing="0" w:line="336" w:lineRule="atLeast"/>
        <w:ind w:left="0" w:firstLine="0"/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教学评价设计</w:t>
      </w: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：</w:t>
      </w:r>
    </w:p>
    <w:p w14:paraId="2270A30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1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多元化评价主体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：采用教师评价、学生自评和互评相结合的方式。教师根据学生的课堂表现、作业完成情况、考试成绩等进行评价；学生自评可以让学生对自己的学习过程和成果进行反思和总结；学生互评则可以促进学生之间的相互学习和交流。例如，在小组项目评价中，教师可以给出一个综合评价，同时让小组成员之间进行互评，评价彼此在项目中的贡献和表现，最后让学生自己对自己在小组项目中的表现进行评价。</w:t>
      </w:r>
    </w:p>
    <w:p w14:paraId="5D0E7AA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过程性评价与终结性评价相结合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：过程性评价注重学生在学习过程中的表现，包括出勤情况、课堂参与度、作业完成质量等，占总成绩的一定比例。终结性评价则以期末考试成绩为主，主要考查学生对管理会计知识的掌握程度和应用能力。例如，过程性评价占总成绩的 40%，其中出勤占 5%、课堂表现占 15%、作业占 20%；终结性评价占总成绩的 60%，通过期末考试来进行考核。</w:t>
      </w:r>
    </w:p>
    <w:p w14:paraId="0C80E2F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sz w:val="28"/>
          <w:szCs w:val="28"/>
        </w:rPr>
      </w:pP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Style w:val="16"/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评价内容全面化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：不仅关注学生的知识掌握程度，还注重学生的能力培养和素质提升。评价内容包括管理会计知识的理解和应用、问题解决能力、团队协作能力、沟通能力、创新能力等。例如，在小组项目评价中，除了评价项目的成果质量外，还会关注小组成员之间的协作情况、沟通效果以及在项目中是否有创新的思路和方法。</w:t>
      </w:r>
    </w:p>
    <w:p w14:paraId="0AFAECE9"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spacing w:before="336" w:beforeAutospacing="0" w:after="144" w:afterAutospacing="0" w:line="336" w:lineRule="atLeast"/>
        <w:ind w:left="0" w:firstLine="0"/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课程思政设计</w:t>
      </w:r>
    </w:p>
    <w:p w14:paraId="44885A3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Style w:val="16"/>
          <w:rFonts w:hint="eastAsia" w:ascii="Segoe UI" w:hAnsi="Segoe UI" w:eastAsia="宋体" w:cs="Segoe UI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</w:t>
      </w:r>
      <w:r>
        <w:rPr>
          <w:rFonts w:hint="default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挖掘思政元素：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深入挖掘管理会计课程中的思政元素，如职业道德、诚信意识、责任感、团队合作精神、创新精神等。在教学过程中，通过案例分析、课堂讨论等方式，将思政元素融入到专业知识的教学中。例如，在讲解管理会计职业道德时，引入企业财务造假的案例，让学生分析案例中相关人员的行为是否违反职业道德，引导学生树立正确的职业道德观念。</w:t>
      </w:r>
    </w:p>
    <w:p w14:paraId="22D0E63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思政教育与专业教学有机融合：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在课程教学中，将思政教育与专业教学有机结合，通过具体的教学内容和教学方法，实现思政教育目标。例如，在讲解预算编制时，强调预算编制的准确性和严肃性，培养学生的责任感和诚信意识；在组织小组项目时，注重培养学生的团队合作精神和沟通能力。</w:t>
      </w:r>
    </w:p>
    <w:p w14:paraId="7810564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 w:firstLine="560"/>
        <w:textAlignment w:val="auto"/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default" w:ascii="方正仿宋_GB2312" w:hAnsi="方正仿宋_GB2312" w:eastAsia="方正仿宋_GB2312" w:cs="方正仿宋_GB2312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开展思政实践活动：</w:t>
      </w: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组织学生开展思政实践活动，如参观企业、调研企业管理会计实践情况等，让学生在实践中感受思政教育的重要性，提高学生的思想政治素质。例如，组织学生参观企业的财务部门，了解企业在管理会计实践中如何贯彻职业道德和诚信意识，以及如何通过团队合作完成各项财务工作</w:t>
      </w:r>
    </w:p>
    <w:p w14:paraId="5D0E929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lef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96" w:beforeAutospacing="0" w:after="0" w:afterAutospacing="1" w:line="560" w:lineRule="exact"/>
        <w:ind w:leftChars="200" w:firstLine="56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default" w:ascii="方正仿宋_GB2312" w:hAnsi="方正仿宋_GB2312" w:eastAsia="方正仿宋_GB2312" w:cs="方正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。</w:t>
      </w:r>
    </w:p>
    <w:p w14:paraId="1CE23C34">
      <w:pPr>
        <w:pStyle w:val="2"/>
        <w:ind w:firstLine="0" w:firstLineChars="0"/>
      </w:pPr>
      <w:r>
        <w:rPr>
          <w:rFonts w:hint="eastAsia"/>
        </w:rPr>
        <w:t>六、课程结构与内容</w:t>
      </w:r>
      <w:bookmarkEnd w:id="27"/>
      <w:bookmarkEnd w:id="28"/>
      <w:bookmarkStart w:id="29" w:name="_Toc7467"/>
      <w:bookmarkStart w:id="30" w:name="_Toc19213"/>
    </w:p>
    <w:p w14:paraId="2E2C554F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14"/>
        <w:tblW w:w="89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2"/>
        <w:gridCol w:w="1075"/>
        <w:gridCol w:w="1183"/>
        <w:gridCol w:w="1936"/>
        <w:gridCol w:w="1842"/>
        <w:gridCol w:w="1843"/>
        <w:gridCol w:w="567"/>
      </w:tblGrid>
      <w:tr w14:paraId="29E6E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75D176F0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7FCCBAB6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6C23DD1D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6E68B43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5794834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8D3DBF0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2A9795A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AA15281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468507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4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150C11CB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0B1344F5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管理会计认知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D4924E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理解管理会计概念与职能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3E71FBD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掌握管理会计定义、与财务会计区别；熟悉预测、决策等职能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74B9633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1705BD4F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212D8BC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课堂讲授，结合案例对比分析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596D6E23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33364B4B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071FE863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培养学生严谨治学态度，树立正确职业观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E22C24D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</w:tr>
      <w:tr w14:paraId="4DD9B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6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788ADDAE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026751DA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战略管理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0BBD26A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制定企业战略规划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312D96CA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分析内外部环境（SWOT），制定竞争战略；掌握战略地图绘制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7A3E765E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6009305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6C936706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案例教学，小组讨论战略制定过程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7BC38C8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5B7EE07E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67D433A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培养学生全局观念和战略思维，增强企业责任感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2CE427E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 w14:paraId="49A9E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346C75F5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3FF60CF9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预算管理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D5C858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运用低代码工具（如宜搭）搭建预算申报流程；对接《财务大数据分析》课程的现金流预测模型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60054DF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学习预算编制方法（零基、滚动等），参与预算执行与控制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75C4A3E8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模拟企业预算流程，实践操作预算编制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13D104A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培养学生计划意识和成本控制观念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4AB4604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 w14:paraId="5AAC2A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0A43442B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4F761A75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成本管理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FDECB39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使用 RPA 工具（UiPath）自动归集制造费用数据；4. 基于制造业真实成本数据集（与金蝶共建）进行差异分析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302969B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掌握品种法、分批法等核算方法，进行成本分析与控制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702B81EB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实验教学，企业成本数据核算分析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13460CC2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培养学生节约意识和精细化管理思维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2E8C8C62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 w14:paraId="7F6DB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5AE59212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71277864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营运管理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1C938A53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优化营运流程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5E97F778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分析营运资金管理，改进业务流程（ABC 分析法等）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686DF243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实地调研企业营运环节，小组汇报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45F5199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培养学生效率意识和创新精神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15B6570F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 w14:paraId="20915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57F926B7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642EEB54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投融资管理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969099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投资决策与融资规划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7E459EAF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评估投资项目可行性，制定融资策略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237CDE4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案例分析投资项目，模拟融资谈判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182B6E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培养学生风险意识和诚信意识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0ADC5C1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 w14:paraId="68A2D2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0CF60A96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0FA962EA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绩效管理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0805268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设计与实施绩效体系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772007E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构建平衡计分卡等绩效指标体系，进行绩效评价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2447621E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项目式学习，设计企业绩效方案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603434CB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培养学生公平公正意识和团队协作精神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046C926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</w:t>
            </w:r>
          </w:p>
        </w:tc>
      </w:tr>
      <w:tr w14:paraId="523D8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54CD88F4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48AB368A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风险管理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312A992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识别与应对风险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5B896A07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识别财务、市场等风险，制定风险应对策略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07CD61B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情景模拟风险事件，讨论应对措施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2FF8F1F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培养学生危机意识和责任担当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5C56F0A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</w:tr>
      <w:tr w14:paraId="52B7F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57245BCB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48113AFE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管理会计报告编制与管理会计信息系统应用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40A3C19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Style w:val="16"/>
                <w:rFonts w:ascii="Segoe UI" w:hAnsi="Segoe UI" w:eastAsia="Segoe UI" w:cs="Segoe UI"/>
                <w:b/>
                <w:bCs/>
                <w:i w:val="0"/>
                <w:iCs w:val="0"/>
                <w:caps w:val="0"/>
                <w:color w:val="000000"/>
                <w:spacing w:val="0"/>
                <w:sz w:val="19"/>
                <w:szCs w:val="19"/>
                <w:bdr w:val="none" w:color="auto" w:sz="0" w:space="0"/>
                <w:shd w:val="clear" w:fill="F9FAFB"/>
              </w:rPr>
              <w:t> </w:t>
            </w:r>
            <w:r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  <w:t>运用区块链存证工具（如蚂蚁链）存储电子会计报告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384DBD4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编制管理会计报告，操作管理会计信息系统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6EEABC8D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软件实操，报告撰写训练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33BB965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培养学生数据安全意识和信息素养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0FFB928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</w:tr>
      <w:tr w14:paraId="307016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2" w:hRule="atLeast"/>
        </w:trPr>
        <w:tc>
          <w:tcPr>
            <w:tcW w:w="502" w:type="dxa"/>
            <w:tcBorders>
              <w:tl2br w:val="nil"/>
              <w:tr2bl w:val="nil"/>
            </w:tcBorders>
            <w:vAlign w:val="center"/>
          </w:tcPr>
          <w:p w14:paraId="4C661ACC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vAlign w:val="center"/>
          </w:tcPr>
          <w:p w14:paraId="5F99E2EA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管理会计数字化业务处理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B01019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数字化转型实践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A21BE5B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掌握数字化工具在管理会计中的应用，如财务机器人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25E3D28E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企业数字化转型案例分析，实践操作数字化工具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169FF5D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培养学生数字化思维和适应变革能力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BB9A17C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</w:t>
            </w:r>
          </w:p>
        </w:tc>
      </w:tr>
    </w:tbl>
    <w:p w14:paraId="1AF185DC"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0A6BD2BF">
      <w:pPr>
        <w:pStyle w:val="2"/>
        <w:ind w:firstLine="653"/>
      </w:pPr>
      <w:bookmarkStart w:id="31" w:name="_Toc502337267"/>
      <w:bookmarkStart w:id="32" w:name="_Toc18126"/>
      <w:bookmarkStart w:id="33" w:name="_Toc20287"/>
      <w:r>
        <w:rPr>
          <w:rFonts w:hint="eastAsia"/>
        </w:rPr>
        <w:t>七、学习评价</w:t>
      </w:r>
      <w:bookmarkEnd w:id="31"/>
      <w:bookmarkEnd w:id="32"/>
      <w:bookmarkEnd w:id="33"/>
    </w:p>
    <w:p w14:paraId="6580A2EE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12F7717C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4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356"/>
        <w:gridCol w:w="1008"/>
        <w:gridCol w:w="1008"/>
        <w:gridCol w:w="1008"/>
        <w:gridCol w:w="2505"/>
        <w:gridCol w:w="1134"/>
      </w:tblGrid>
      <w:tr w14:paraId="4BA573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66DEAC7A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0314A21B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40930911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424CE781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3024" w:type="dxa"/>
            <w:gridSpan w:val="3"/>
            <w:tcBorders>
              <w:tl2br w:val="nil"/>
              <w:tr2bl w:val="nil"/>
            </w:tcBorders>
            <w:vAlign w:val="center"/>
          </w:tcPr>
          <w:p w14:paraId="1DF1F09F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 w14:paraId="0FFB2A1B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2B758328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2A5268E1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31487BD2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37A295D3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04183F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</w:tcPr>
          <w:p w14:paraId="5BE691BC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5C120A00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过程考核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230CBB19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课堂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作业</w:t>
            </w:r>
          </w:p>
        </w:tc>
        <w:tc>
          <w:tcPr>
            <w:tcW w:w="3024" w:type="dxa"/>
            <w:gridSpan w:val="3"/>
            <w:vMerge w:val="restart"/>
            <w:tcBorders>
              <w:tl2br w:val="nil"/>
              <w:tr2bl w:val="nil"/>
            </w:tcBorders>
          </w:tcPr>
          <w:p w14:paraId="26607672">
            <w:pPr>
              <w:spacing w:line="240" w:lineRule="auto"/>
              <w:ind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学习态度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课堂纪律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</w:p>
          <w:p w14:paraId="0961BD36">
            <w:pPr>
              <w:spacing w:line="240" w:lineRule="auto"/>
              <w:ind w:firstLine="0" w:firstLineChars="0"/>
              <w:jc w:val="left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团队合作精神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职业规范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职业素养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职业道德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</w:tcPr>
          <w:p w14:paraId="1B2C4595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小组讨论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课堂提问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小组作业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平时作业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出勤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率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等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59B5885C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40%</w:t>
            </w:r>
          </w:p>
        </w:tc>
      </w:tr>
      <w:tr w14:paraId="0A582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54D851A4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0A163138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52671027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态度表现</w:t>
            </w:r>
          </w:p>
        </w:tc>
        <w:tc>
          <w:tcPr>
            <w:tcW w:w="3024" w:type="dxa"/>
            <w:gridSpan w:val="3"/>
            <w:vMerge w:val="continue"/>
            <w:tcBorders>
              <w:tl2br w:val="nil"/>
              <w:tr2bl w:val="nil"/>
            </w:tcBorders>
          </w:tcPr>
          <w:p w14:paraId="4B2A06F7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</w:tcPr>
          <w:p w14:paraId="268DCD6D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2BE17AC6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326EB2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069A525F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34A8BC50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5172BB86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23E98F9F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优秀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0C893BBE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良好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29D6AD46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一般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10E02B37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292C6BE6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4A30FD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3048F72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1F3ACD7C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终结考核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5C60C6A8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学习情境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38698338">
            <w:pPr>
              <w:spacing w:line="240" w:lineRule="auto"/>
              <w:ind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逻辑清晰,分析合理, 表述流畅, 团队合 作,完</w:t>
            </w:r>
          </w:p>
          <w:p w14:paraId="17221A44">
            <w:pPr>
              <w:spacing w:line="240" w:lineRule="auto"/>
              <w:ind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成情况</w:t>
            </w:r>
          </w:p>
          <w:p w14:paraId="6906BA8E">
            <w:pPr>
              <w:spacing w:line="240" w:lineRule="auto"/>
              <w:ind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优秀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2B7310E4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逻辑较 </w:t>
            </w:r>
          </w:p>
          <w:p w14:paraId="71B2693D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清晰, </w:t>
            </w:r>
          </w:p>
          <w:p w14:paraId="503D5595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分析较 </w:t>
            </w:r>
          </w:p>
          <w:p w14:paraId="0F26B2AC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合理, </w:t>
            </w:r>
          </w:p>
          <w:p w14:paraId="2C2A35A2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表述较 </w:t>
            </w:r>
          </w:p>
          <w:p w14:paraId="0642CC0E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流畅, </w:t>
            </w:r>
          </w:p>
          <w:p w14:paraId="200A7CAD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团队合 </w:t>
            </w:r>
          </w:p>
          <w:p w14:paraId="2431FE1A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作,完 </w:t>
            </w:r>
          </w:p>
          <w:p w14:paraId="0334A50E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成情况 </w:t>
            </w:r>
          </w:p>
          <w:p w14:paraId="781FC9E6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较优秀</w:t>
            </w:r>
          </w:p>
          <w:p w14:paraId="177F217C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6F149B88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逻辑一 </w:t>
            </w:r>
          </w:p>
          <w:p w14:paraId="620FDD21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般,分 </w:t>
            </w:r>
          </w:p>
          <w:p w14:paraId="2914D337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析一 </w:t>
            </w:r>
          </w:p>
          <w:p w14:paraId="1E78BBFF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般,表 </w:t>
            </w:r>
          </w:p>
          <w:p w14:paraId="552146AA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述流 </w:t>
            </w:r>
          </w:p>
          <w:p w14:paraId="0291F23A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畅,团 </w:t>
            </w:r>
          </w:p>
          <w:p w14:paraId="5A51F0B0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队合作 </w:t>
            </w:r>
          </w:p>
          <w:p w14:paraId="635223D0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一般, </w:t>
            </w:r>
          </w:p>
          <w:p w14:paraId="769DE903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完成情 </w:t>
            </w:r>
          </w:p>
          <w:p w14:paraId="1D368624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况一般</w:t>
            </w:r>
          </w:p>
          <w:p w14:paraId="44C3256C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1AD45342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小组讨论、团队合作、课内实践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2C30698B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30%</w:t>
            </w:r>
          </w:p>
        </w:tc>
      </w:tr>
      <w:tr w14:paraId="223731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31AE789E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48C06AD3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604E2D7B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平时作业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60F29F9C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及时上 </w:t>
            </w:r>
          </w:p>
          <w:p w14:paraId="0CF42331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交 ,10 </w:t>
            </w:r>
          </w:p>
          <w:p w14:paraId="70F4CA44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次A 以 </w:t>
            </w:r>
          </w:p>
          <w:p w14:paraId="1A2705C6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上, 书 </w:t>
            </w:r>
          </w:p>
          <w:p w14:paraId="48B58099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写规范</w:t>
            </w:r>
          </w:p>
          <w:p w14:paraId="55484920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5BA4DA28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及时上 </w:t>
            </w:r>
          </w:p>
          <w:p w14:paraId="1755F267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交8 次 </w:t>
            </w:r>
          </w:p>
          <w:p w14:paraId="321233FC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B,书写 </w:t>
            </w:r>
          </w:p>
          <w:p w14:paraId="597AF8C7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基本规 </w:t>
            </w:r>
          </w:p>
          <w:p w14:paraId="261192DA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范</w:t>
            </w:r>
          </w:p>
          <w:p w14:paraId="353A1336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4D844F65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及时上 </w:t>
            </w:r>
          </w:p>
          <w:p w14:paraId="282FAF2B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交5 次 </w:t>
            </w:r>
          </w:p>
          <w:p w14:paraId="403DA158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C,书写 </w:t>
            </w:r>
          </w:p>
          <w:p w14:paraId="5620D5CF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基本规 </w:t>
            </w:r>
          </w:p>
          <w:p w14:paraId="2D49B9CB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范</w:t>
            </w:r>
          </w:p>
          <w:p w14:paraId="788A0BDB">
            <w:pPr>
              <w:spacing w:line="240" w:lineRule="auto"/>
              <w:ind w:firstLine="0" w:firstLineChars="0"/>
              <w:jc w:val="both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2A464E0D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及时与完成质量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58C739D9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20%</w:t>
            </w:r>
          </w:p>
        </w:tc>
      </w:tr>
      <w:tr w14:paraId="5DD86E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5CC9910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59A8D122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38E02AF4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考勤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53F668A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</w:pPr>
            <w:r>
              <w:rPr>
                <w:rFonts w:ascii="仿宋" w:hAnsi="仿宋" w:eastAsia="仿宋" w:cs="仿宋"/>
                <w:color w:val="000000"/>
                <w:kern w:val="0"/>
                <w:sz w:val="20"/>
                <w:szCs w:val="20"/>
                <w:lang w:val="en-US" w:eastAsia="zh-CN" w:bidi="ar"/>
              </w:rPr>
              <w:t>满勤</w:t>
            </w:r>
          </w:p>
          <w:p w14:paraId="3275019D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412117F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无旷</w:t>
            </w:r>
          </w:p>
          <w:p w14:paraId="68C4CC86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课,迟</w:t>
            </w:r>
          </w:p>
          <w:p w14:paraId="0DE7D4BD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到早退</w:t>
            </w:r>
          </w:p>
          <w:p w14:paraId="03983AC2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3 次以</w:t>
            </w:r>
          </w:p>
          <w:p w14:paraId="285A057D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下</w:t>
            </w:r>
          </w:p>
        </w:tc>
        <w:tc>
          <w:tcPr>
            <w:tcW w:w="1008" w:type="dxa"/>
            <w:tcBorders>
              <w:tl2br w:val="nil"/>
              <w:tr2bl w:val="nil"/>
            </w:tcBorders>
          </w:tcPr>
          <w:p w14:paraId="6D4B981F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旷课 2</w:t>
            </w:r>
          </w:p>
          <w:p w14:paraId="428244A6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次以</w:t>
            </w:r>
          </w:p>
          <w:p w14:paraId="083549C1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丙,迟</w:t>
            </w:r>
          </w:p>
          <w:p w14:paraId="423060DE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到早退</w:t>
            </w:r>
          </w:p>
          <w:p w14:paraId="16345ADD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5 次以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0A463299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出勤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2B57EAAC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</w:t>
            </w:r>
          </w:p>
        </w:tc>
      </w:tr>
    </w:tbl>
    <w:p w14:paraId="678BCB8B">
      <w:pPr>
        <w:pStyle w:val="2"/>
        <w:ind w:firstLine="653"/>
      </w:pPr>
      <w:bookmarkStart w:id="34" w:name="_Toc11140"/>
      <w:bookmarkStart w:id="35" w:name="_Toc18233"/>
      <w:bookmarkStart w:id="36" w:name="_Toc502337268"/>
      <w:r>
        <w:rPr>
          <w:rFonts w:hint="eastAsia"/>
        </w:rPr>
        <w:t>八、教学资源</w:t>
      </w:r>
      <w:bookmarkEnd w:id="34"/>
      <w:bookmarkEnd w:id="35"/>
      <w:bookmarkEnd w:id="36"/>
    </w:p>
    <w:p w14:paraId="790C8E27">
      <w:pPr>
        <w:pStyle w:val="3"/>
        <w:ind w:firstLine="560"/>
        <w:rPr>
          <w:rFonts w:hint="eastAsia"/>
        </w:rPr>
      </w:pPr>
      <w:bookmarkStart w:id="37" w:name="_Toc20587"/>
      <w:bookmarkStart w:id="38" w:name="_Toc16925"/>
      <w:r>
        <w:rPr>
          <w:rFonts w:hint="eastAsia"/>
        </w:rPr>
        <w:t>（一）主要参考教材</w:t>
      </w:r>
      <w:bookmarkEnd w:id="37"/>
      <w:bookmarkEnd w:id="38"/>
    </w:p>
    <w:p w14:paraId="7704EE11">
      <w:pPr>
        <w:rPr>
          <w:rFonts w:hint="default" w:eastAsia="仿宋_GB2312"/>
          <w:lang w:val="en-US" w:eastAsia="zh-CN"/>
        </w:rPr>
      </w:pPr>
      <w:r>
        <w:rPr>
          <w:rFonts w:hint="eastAsia"/>
          <w:lang w:eastAsia="zh-CN"/>
        </w:rPr>
        <w:t>《</w:t>
      </w:r>
      <w:r>
        <w:rPr>
          <w:rFonts w:hint="eastAsia"/>
          <w:lang w:val="en-US" w:eastAsia="zh-CN"/>
        </w:rPr>
        <w:t>管理会计实务</w:t>
      </w:r>
      <w:r>
        <w:rPr>
          <w:rFonts w:hint="eastAsia"/>
          <w:lang w:eastAsia="zh-CN"/>
        </w:rPr>
        <w:t>》</w:t>
      </w:r>
      <w:r>
        <w:rPr>
          <w:rFonts w:hint="eastAsia"/>
          <w:lang w:val="en-US" w:eastAsia="zh-CN"/>
        </w:rPr>
        <w:t xml:space="preserve"> 周阅 丁增稳主编  高等教育出版社</w:t>
      </w:r>
    </w:p>
    <w:p w14:paraId="7AF20F81">
      <w:pPr>
        <w:pStyle w:val="3"/>
      </w:pPr>
      <w:bookmarkStart w:id="39" w:name="_Toc17555"/>
      <w:bookmarkStart w:id="40" w:name="_Toc29665"/>
      <w:r>
        <w:rPr>
          <w:rFonts w:hint="eastAsia"/>
        </w:rPr>
        <w:t>（二）其他参考资料</w:t>
      </w:r>
      <w:bookmarkEnd w:id="39"/>
      <w:bookmarkEnd w:id="40"/>
    </w:p>
    <w:p w14:paraId="01DC1869">
      <w:pPr>
        <w:pStyle w:val="3"/>
        <w:ind w:firstLine="560"/>
      </w:pPr>
      <w:bookmarkStart w:id="41" w:name="_Toc27934"/>
      <w:bookmarkStart w:id="42" w:name="_Toc21776"/>
      <w:r>
        <w:rPr>
          <w:rFonts w:hint="eastAsia"/>
        </w:rPr>
        <w:t>（三）实训条件</w:t>
      </w:r>
      <w:bookmarkEnd w:id="41"/>
      <w:bookmarkEnd w:id="42"/>
    </w:p>
    <w:p w14:paraId="5A5AC5AE">
      <w:pPr>
        <w:keepNext w:val="0"/>
        <w:keepLines w:val="0"/>
        <w:widowControl/>
        <w:suppressLineNumbers w:val="0"/>
        <w:jc w:val="left"/>
        <w:rPr>
          <w:rFonts w:hint="eastAsia"/>
        </w:rPr>
      </w:pPr>
      <w:r>
        <w:rPr>
          <w:rFonts w:hint="eastAsia"/>
        </w:rPr>
        <w:t>硬件设施：</w:t>
      </w:r>
      <w:r>
        <w:rPr>
          <w:rFonts w:hint="eastAsia"/>
          <w:lang w:val="en-US" w:eastAsia="zh-CN"/>
        </w:rPr>
        <w:t>一体化教室、校内实训室及校外实训基地。一体化教室设施应该包括具备上网功能的电脑，可供学生进行资料查阅；可移动桌椅供学生分组讨论；陈列柜供资料存放、成果展示。</w:t>
      </w:r>
    </w:p>
    <w:p w14:paraId="0571B35C">
      <w:pPr>
        <w:spacing w:line="360" w:lineRule="auto"/>
        <w:ind w:firstLine="560"/>
        <w:rPr>
          <w:rFonts w:hint="eastAsia"/>
          <w:lang w:val="en-US" w:eastAsia="zh-CN"/>
        </w:rPr>
      </w:pPr>
      <w:r>
        <w:rPr>
          <w:rFonts w:hint="eastAsia"/>
        </w:rPr>
        <w:t>软件设施：</w:t>
      </w:r>
      <w:r>
        <w:rPr>
          <w:rFonts w:hint="eastAsia"/>
          <w:lang w:val="en-US" w:eastAsia="zh-CN"/>
        </w:rPr>
        <w:t>财务管理软件、金税四期仿真系统、区块链电子档案管理平台（教学版）</w:t>
      </w:r>
    </w:p>
    <w:p w14:paraId="75FA7429">
      <w:pPr>
        <w:pStyle w:val="3"/>
        <w:ind w:firstLine="560"/>
        <w:rPr>
          <w:rFonts w:hint="eastAsia"/>
        </w:rPr>
      </w:pPr>
      <w:bookmarkStart w:id="43" w:name="_Toc29888"/>
      <w:bookmarkStart w:id="44" w:name="_Toc7079"/>
      <w:r>
        <w:rPr>
          <w:rFonts w:hint="eastAsia"/>
        </w:rPr>
        <w:t>（四）信息化教学资源</w:t>
      </w:r>
      <w:bookmarkEnd w:id="43"/>
      <w:bookmarkEnd w:id="44"/>
    </w:p>
    <w:p w14:paraId="6BD37840">
      <w:pPr>
        <w:keepNext w:val="0"/>
        <w:keepLines w:val="0"/>
        <w:widowControl/>
        <w:suppressLineNumbers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智慧职教、MOOC 学院、职教云等资源平台， 结合电子书籍、数字图书馆、数字课程、微课等</w:t>
      </w:r>
    </w:p>
    <w:p w14:paraId="2F3B2EC1"/>
    <w:p w14:paraId="5BBE0D6B">
      <w:pPr>
        <w:pStyle w:val="2"/>
        <w:numPr>
          <w:ilvl w:val="0"/>
          <w:numId w:val="3"/>
        </w:numPr>
        <w:ind w:firstLine="653"/>
        <w:rPr>
          <w:rFonts w:hint="eastAsia"/>
        </w:rPr>
      </w:pPr>
      <w:bookmarkStart w:id="45" w:name="_Toc6694"/>
      <w:bookmarkStart w:id="46" w:name="_Toc12227"/>
      <w:bookmarkStart w:id="47" w:name="_Hlk90479468"/>
      <w:r>
        <w:rPr>
          <w:rFonts w:hint="eastAsia"/>
        </w:rPr>
        <w:t>师资要求</w:t>
      </w:r>
      <w:bookmarkEnd w:id="45"/>
      <w:bookmarkEnd w:id="46"/>
    </w:p>
    <w:p w14:paraId="01DD8E02">
      <w:pPr>
        <w:keepNext w:val="0"/>
        <w:keepLines w:val="0"/>
        <w:widowControl/>
        <w:suppressLineNumbers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任课教师需具备会计和财务方面丰富的理论知识和实践经</w:t>
      </w:r>
      <w:bookmarkStart w:id="51" w:name="_GoBack"/>
      <w:r>
        <w:rPr>
          <w:rFonts w:hint="eastAsia"/>
          <w:lang w:val="en-US" w:eastAsia="zh-CN"/>
        </w:rPr>
        <w:t>验,核心课程教师需持有 DCMM 数据工程师证书或主导过企业业财一体化项目</w:t>
      </w:r>
      <w:r>
        <w:rPr>
          <w:rFonts w:hint="default"/>
          <w:lang w:val="en-US" w:eastAsia="zh-CN"/>
        </w:rPr>
        <w:t>，符合双师型的要求。最好是有专任老师与兼职教师相结合（兼职教师需具备税务区块链项目经验），年龄方面是老、中、青结合，职称方面是高级、中级</w:t>
      </w:r>
      <w:r>
        <w:rPr>
          <w:rFonts w:hint="eastAsia"/>
          <w:lang w:val="en-US" w:eastAsia="zh-CN"/>
        </w:rPr>
        <w:t>、初级相结合</w:t>
      </w:r>
    </w:p>
    <w:bookmarkEnd w:id="51"/>
    <w:p w14:paraId="4C410DA0">
      <w:pPr>
        <w:numPr>
          <w:ilvl w:val="0"/>
          <w:numId w:val="0"/>
        </w:numPr>
      </w:pPr>
    </w:p>
    <w:p w14:paraId="4CBADBFB">
      <w:pPr>
        <w:pStyle w:val="2"/>
        <w:ind w:firstLine="653"/>
      </w:pPr>
      <w:bookmarkStart w:id="48" w:name="_Toc29184"/>
      <w:bookmarkStart w:id="49" w:name="_Toc3001"/>
      <w:bookmarkStart w:id="50" w:name="_Toc502337269"/>
      <w:r>
        <w:rPr>
          <w:rFonts w:hint="eastAsia"/>
        </w:rPr>
        <w:t>十、其它说明</w:t>
      </w:r>
      <w:bookmarkEnd w:id="48"/>
      <w:bookmarkEnd w:id="49"/>
      <w:bookmarkEnd w:id="50"/>
    </w:p>
    <w:bookmarkEnd w:id="3"/>
    <w:bookmarkEnd w:id="4"/>
    <w:bookmarkEnd w:id="5"/>
    <w:bookmarkEnd w:id="47"/>
    <w:p w14:paraId="37961695">
      <w:pPr>
        <w:ind w:firstLine="560"/>
        <w:rPr>
          <w:rFonts w:hint="eastAsia" w:ascii="仿宋_GB2312" w:hAnsi="宋体" w:eastAsia="仿宋_GB2312" w:cs="宋体"/>
          <w:kern w:val="0"/>
          <w:szCs w:val="28"/>
          <w:lang w:val="en-US" w:eastAsia="zh-CN"/>
        </w:rPr>
      </w:pPr>
      <w:r>
        <w:rPr>
          <w:rFonts w:hint="eastAsia" w:ascii="仿宋_GB2312" w:hAnsi="宋体" w:cs="宋体"/>
          <w:kern w:val="0"/>
          <w:szCs w:val="28"/>
          <w:lang w:val="en-US" w:eastAsia="zh-CN"/>
        </w:rPr>
        <w:t>无</w:t>
      </w: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7D422441-A689-4585-AEBA-A768045A1696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4819A769-4EED-4BAA-AA2E-7D69B050FC1B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  <w:embedRegular r:id="rId3" w:fontKey="{1310255C-8AB0-47AD-B3B2-DFB632C752E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FF4679A8-60D2-487F-8C01-011255D3D25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470BCA">
    <w:pPr>
      <w:pStyle w:val="8"/>
      <w:ind w:firstLine="360"/>
      <w:jc w:val="center"/>
    </w:pPr>
    <w:r>
      <w:rPr>
        <w:lang w:val="zh-CN"/>
      </w:rPr>
      <w:t xml:space="preserve"> </w:t>
    </w:r>
  </w:p>
  <w:p w14:paraId="449C1408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453460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1F800D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3A16AC">
    <w:pPr>
      <w:pStyle w:val="8"/>
      <w:ind w:firstLine="360"/>
      <w:jc w:val="center"/>
    </w:pPr>
    <w:r>
      <w:rPr>
        <w:lang w:val="zh-CN"/>
      </w:rPr>
      <w:t xml:space="preserve"> </w:t>
    </w:r>
  </w:p>
  <w:p w14:paraId="7384CB6D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DF9A68">
    <w:pPr>
      <w:pStyle w:val="8"/>
      <w:ind w:firstLine="360"/>
      <w:jc w:val="center"/>
    </w:pPr>
    <w:r>
      <w:rPr>
        <w:lang w:val="zh-CN"/>
      </w:rPr>
      <w:t xml:space="preserve"> </w:t>
    </w:r>
  </w:p>
  <w:p w14:paraId="34334021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849AC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45177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71B80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F56A6B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4C07495"/>
    <w:multiLevelType w:val="singleLevel"/>
    <w:tmpl w:val="24C07495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B4B3EED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E0C36DB"/>
    <w:rsid w:val="2392755E"/>
    <w:rsid w:val="273677B9"/>
    <w:rsid w:val="29790743"/>
    <w:rsid w:val="2D276405"/>
    <w:rsid w:val="2D5773F8"/>
    <w:rsid w:val="2E7B7787"/>
    <w:rsid w:val="2F6A77B8"/>
    <w:rsid w:val="30611F0A"/>
    <w:rsid w:val="317D4E81"/>
    <w:rsid w:val="33670DA7"/>
    <w:rsid w:val="33BD324E"/>
    <w:rsid w:val="34710AAF"/>
    <w:rsid w:val="36AC6811"/>
    <w:rsid w:val="3A9340B4"/>
    <w:rsid w:val="3DD96F86"/>
    <w:rsid w:val="3EBC5DDD"/>
    <w:rsid w:val="3FF42CA8"/>
    <w:rsid w:val="44883AC1"/>
    <w:rsid w:val="44890655"/>
    <w:rsid w:val="47DB4379"/>
    <w:rsid w:val="489268FC"/>
    <w:rsid w:val="49564CEF"/>
    <w:rsid w:val="4CCD5FB7"/>
    <w:rsid w:val="4E053309"/>
    <w:rsid w:val="53596C0B"/>
    <w:rsid w:val="54A518C5"/>
    <w:rsid w:val="562A3B61"/>
    <w:rsid w:val="575F1A59"/>
    <w:rsid w:val="59B04FCC"/>
    <w:rsid w:val="5A502305"/>
    <w:rsid w:val="5A63129F"/>
    <w:rsid w:val="5ADE57B1"/>
    <w:rsid w:val="5BCF6EC1"/>
    <w:rsid w:val="5E8A4E8C"/>
    <w:rsid w:val="685B2491"/>
    <w:rsid w:val="694C5B6A"/>
    <w:rsid w:val="6C932E12"/>
    <w:rsid w:val="6D695A44"/>
    <w:rsid w:val="6E8A7606"/>
    <w:rsid w:val="70D22201"/>
    <w:rsid w:val="76AA6A38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1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2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8"/>
    <w:qFormat/>
    <w:uiPriority w:val="0"/>
    <w:rPr>
      <w:sz w:val="18"/>
      <w:szCs w:val="18"/>
    </w:rPr>
  </w:style>
  <w:style w:type="paragraph" w:styleId="8">
    <w:name w:val="footer"/>
    <w:basedOn w:val="1"/>
    <w:link w:val="2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character" w:styleId="17">
    <w:name w:val="Hyperlink"/>
    <w:unhideWhenUsed/>
    <w:qFormat/>
    <w:uiPriority w:val="99"/>
    <w:rPr>
      <w:color w:val="0000FF"/>
      <w:u w:val="single"/>
    </w:rPr>
  </w:style>
  <w:style w:type="character" w:customStyle="1" w:styleId="18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9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0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1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2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3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5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6">
    <w:name w:val="style41"/>
    <w:basedOn w:val="15"/>
    <w:qFormat/>
    <w:uiPriority w:val="0"/>
    <w:rPr>
      <w:sz w:val="18"/>
    </w:rPr>
  </w:style>
  <w:style w:type="paragraph" w:customStyle="1" w:styleId="27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8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9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30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1">
    <w:name w:val="List Paragraph"/>
    <w:basedOn w:val="1"/>
    <w:qFormat/>
    <w:uiPriority w:val="99"/>
    <w:pPr>
      <w:ind w:firstLine="420"/>
    </w:pPr>
  </w:style>
  <w:style w:type="paragraph" w:customStyle="1" w:styleId="32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14</Pages>
  <Words>4514</Words>
  <Characters>4560</Characters>
  <Lines>15</Lines>
  <Paragraphs>5</Paragraphs>
  <TotalTime>12</TotalTime>
  <ScaleCrop>false</ScaleCrop>
  <LinksUpToDate>false</LinksUpToDate>
  <CharactersWithSpaces>4721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廖泱泱～</cp:lastModifiedBy>
  <cp:lastPrinted>2024-07-02T05:20:00Z</cp:lastPrinted>
  <dcterms:modified xsi:type="dcterms:W3CDTF">2025-08-18T08:13:01Z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74D85C4984144724AD9DA142B9184FE5_13</vt:lpwstr>
  </property>
  <property fmtid="{D5CDD505-2E9C-101B-9397-08002B2CF9AE}" pid="4" name="KSOTemplateDocerSaveRecord">
    <vt:lpwstr>eyJoZGlkIjoiODJjZmQ3OTc2NTJiY2U4YmFhM2E5YzQwMmZkMWQzYzEiLCJ1c2VySWQiOiI0ODY5MTgwNDgifQ==</vt:lpwstr>
  </property>
</Properties>
</file>