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211AF9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49746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1AFC49F3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5BADA9F2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144"/>
          <w:szCs w:val="144"/>
        </w:rPr>
      </w:pPr>
      <w:r>
        <w:rPr>
          <w:rFonts w:hint="eastAsia" w:ascii="黑体" w:hAnsi="楷体" w:eastAsia="黑体"/>
          <w:b/>
          <w:sz w:val="144"/>
          <w:szCs w:val="144"/>
        </w:rPr>
        <w:t>“</w:t>
      </w:r>
      <w:r>
        <w:rPr>
          <w:rFonts w:hint="eastAsia" w:ascii="黑体" w:hAnsi="楷体" w:eastAsia="黑体"/>
          <w:b/>
          <w:sz w:val="52"/>
          <w:szCs w:val="52"/>
        </w:rPr>
        <w:t>Rpa财务机器人应用与开发</w:t>
      </w:r>
      <w:r>
        <w:rPr>
          <w:rFonts w:hint="eastAsia" w:ascii="黑体" w:hAnsi="楷体" w:eastAsia="黑体"/>
          <w:b/>
          <w:sz w:val="144"/>
          <w:szCs w:val="144"/>
        </w:rPr>
        <w:t>”</w:t>
      </w:r>
    </w:p>
    <w:p w14:paraId="305D8B5F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 w14:paraId="0FB888EA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356944D6">
      <w:pPr>
        <w:ind w:firstLine="560"/>
      </w:pPr>
    </w:p>
    <w:p w14:paraId="228298B1">
      <w:pPr>
        <w:ind w:firstLine="0" w:firstLineChars="0"/>
      </w:pPr>
    </w:p>
    <w:tbl>
      <w:tblPr>
        <w:tblStyle w:val="13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2BC41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72874B4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3611CBE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3C8EEDB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80246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0501128F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5319F97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70C70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D4143B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6BD03CB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B53163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83469C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0DCA9D5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1039064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1E8F6528">
      <w:pPr>
        <w:ind w:firstLine="0" w:firstLineChars="0"/>
      </w:pPr>
    </w:p>
    <w:p w14:paraId="7E28658D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6ECCD10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4</w:t>
      </w:r>
      <w:r>
        <w:rPr>
          <w:b/>
          <w:bCs/>
          <w:kern w:val="36"/>
          <w:sz w:val="36"/>
          <w:szCs w:val="36"/>
        </w:rPr>
        <w:t>月</w:t>
      </w:r>
    </w:p>
    <w:p w14:paraId="427AD3BA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7D19619B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51C26BBF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2AAC6291"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324E28E5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7B83B952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076980B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757BC4F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28404BCA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45A85B3A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66C0878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031D1101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0D22129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6F308379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330AE83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6DA3A1FE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98A7546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0FC1DCC5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1B3F18F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EAE1D7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8AE291D"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C6C1C2C"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</w:p>
      </w:sdtContent>
    </w:sdt>
    <w:p w14:paraId="4A818745">
      <w:pPr>
        <w:pStyle w:val="2"/>
        <w:ind w:firstLine="653"/>
      </w:pPr>
      <w:bookmarkStart w:id="0" w:name="_Toc502337258"/>
      <w:bookmarkStart w:id="1" w:name="_Toc10917"/>
      <w:bookmarkStart w:id="2" w:name="_Toc2179"/>
      <w:bookmarkStart w:id="3" w:name="_Toc16819"/>
      <w:bookmarkStart w:id="4" w:name="_Toc8847"/>
      <w:bookmarkStart w:id="5" w:name="_Toc2469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662F4040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2DEFF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0BD7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30DBB1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18"/>
                <w:szCs w:val="15"/>
              </w:rPr>
              <w:t>Rpa财务机器人应用与开发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8D2E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6F5A82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JG022508</w:t>
            </w:r>
          </w:p>
        </w:tc>
      </w:tr>
      <w:tr w14:paraId="67451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7EADC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D9DCFA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F419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84A89B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619DE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E6A0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7141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32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5BA0D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36E937">
            <w:pPr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2</w:t>
            </w:r>
          </w:p>
        </w:tc>
      </w:tr>
      <w:tr w14:paraId="12B53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972E73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DD954C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 xml:space="preserve">是             </w:t>
            </w:r>
            <w:r>
              <w:rPr>
                <w:rFonts w:hint="eastAsia"/>
                <w:sz w:val="24"/>
                <w:szCs w:val="21"/>
                <w:lang w:eastAsia="zh-CN"/>
              </w:rPr>
              <w:t>☑</w:t>
            </w:r>
            <w:r>
              <w:rPr>
                <w:rFonts w:hint="eastAsia"/>
                <w:sz w:val="24"/>
                <w:szCs w:val="21"/>
              </w:rPr>
              <w:t>否</w:t>
            </w:r>
          </w:p>
        </w:tc>
      </w:tr>
      <w:tr w14:paraId="4DCAA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53AB3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69BED5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  <w:tr w14:paraId="1D8A3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58A2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D272C8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</w:tbl>
    <w:p w14:paraId="596DFAC2">
      <w:pPr>
        <w:pStyle w:val="2"/>
        <w:numPr>
          <w:ilvl w:val="0"/>
          <w:numId w:val="1"/>
        </w:numPr>
        <w:ind w:firstLine="653"/>
      </w:pPr>
      <w:bookmarkStart w:id="6" w:name="_Toc4255"/>
      <w:bookmarkStart w:id="7" w:name="_Toc502337262"/>
      <w:bookmarkStart w:id="8" w:name="_Toc30964"/>
      <w:r>
        <w:rPr>
          <w:rFonts w:hint="eastAsia"/>
        </w:rPr>
        <w:t>课程任务</w:t>
      </w:r>
      <w:bookmarkEnd w:id="6"/>
    </w:p>
    <w:p w14:paraId="558C0EB0">
      <w:pPr>
        <w:ind w:firstLine="560"/>
        <w:rPr>
          <w:rFonts w:hint="eastAsia" w:ascii="仿宋" w:hAnsi="仿宋" w:eastAsia="仿宋" w:cs="仿宋"/>
          <w:color w:val="auto"/>
          <w:lang w:eastAsia="zh-CN"/>
        </w:rPr>
      </w:pPr>
      <w:r>
        <w:rPr>
          <w:rFonts w:hint="eastAsia" w:ascii="仿宋" w:hAnsi="仿宋" w:eastAsia="仿宋" w:cs="仿宋"/>
          <w:color w:val="auto"/>
        </w:rPr>
        <w:t>《Rpa财务机器人应用与开发》是</w:t>
      </w:r>
      <w:r>
        <w:rPr>
          <w:rFonts w:hint="eastAsia" w:ascii="仿宋" w:hAnsi="仿宋" w:eastAsia="仿宋" w:cs="仿宋"/>
          <w:color w:val="auto"/>
          <w:lang w:val="en-US" w:eastAsia="zh-CN"/>
        </w:rPr>
        <w:t>大数据与会计</w:t>
      </w:r>
      <w:r>
        <w:rPr>
          <w:rFonts w:hint="eastAsia" w:ascii="仿宋" w:hAnsi="仿宋" w:eastAsia="仿宋" w:cs="仿宋"/>
          <w:color w:val="auto"/>
        </w:rPr>
        <w:t>专业的一门</w:t>
      </w:r>
      <w:r>
        <w:rPr>
          <w:rFonts w:hint="eastAsia" w:ascii="仿宋" w:hAnsi="仿宋" w:eastAsia="仿宋" w:cs="仿宋"/>
          <w:color w:val="auto"/>
          <w:lang w:eastAsia="zh-CN"/>
        </w:rPr>
        <w:t>专业</w:t>
      </w:r>
      <w:r>
        <w:rPr>
          <w:rFonts w:hint="eastAsia" w:ascii="仿宋" w:hAnsi="仿宋" w:eastAsia="仿宋" w:cs="仿宋"/>
          <w:color w:val="auto"/>
          <w:lang w:val="en-US" w:eastAsia="zh-CN"/>
        </w:rPr>
        <w:t>基础</w:t>
      </w:r>
      <w:r>
        <w:rPr>
          <w:rFonts w:hint="eastAsia" w:ascii="仿宋" w:hAnsi="仿宋" w:eastAsia="仿宋" w:cs="仿宋"/>
          <w:color w:val="auto"/>
          <w:lang w:eastAsia="zh-CN"/>
        </w:rPr>
        <w:t>课，本课程全面贯彻党的教育方针，落实立德树人根本任务，培养学生勇于创新的精神和解决实际财务问题的能力，掌握 RPA 技术在财务领域的创新应用能力，聚焦 “自动化 - 分析 - 决策” 全链条能力培养。</w:t>
      </w:r>
    </w:p>
    <w:p w14:paraId="6D2AD75B">
      <w:pPr>
        <w:ind w:firstLine="560"/>
        <w:rPr>
          <w:rFonts w:hint="eastAsia" w:ascii="仿宋" w:hAnsi="仿宋" w:eastAsia="仿宋" w:cs="仿宋"/>
          <w:color w:val="auto"/>
          <w:lang w:eastAsia="zh-CN"/>
        </w:rPr>
      </w:pPr>
      <w:r>
        <w:rPr>
          <w:rFonts w:hint="eastAsia" w:ascii="仿宋" w:hAnsi="仿宋" w:eastAsia="仿宋" w:cs="仿宋"/>
          <w:color w:val="auto"/>
          <w:lang w:eastAsia="zh-CN"/>
        </w:rPr>
        <w:t xml:space="preserve"> 通过本课程教学，使学生具备RPA（机器人流程自动化）技术、财务数据分析、数据挖掘技术、Excel高级应用、Python编程、数据库管理、云计算平台操作、API接口调用、具备低代码开发、AI 模型集成、跨系统 API 调用等技能，掌握财务数据脱敏、算法合规等伦理规范，对接 “财务数字化应用” 等新职业技能等级证书要求，实现学校到职场的平稳过渡。具体内容可包括财务报表自动化处理、财务流程优化、数据清洗与转换等。</w:t>
      </w:r>
    </w:p>
    <w:p w14:paraId="26FA00B1">
      <w:pPr>
        <w:ind w:firstLine="560"/>
        <w:rPr>
          <w:rFonts w:hint="eastAsia" w:ascii="仿宋" w:hAnsi="仿宋" w:eastAsia="仿宋" w:cs="仿宋"/>
          <w:color w:val="auto"/>
          <w:lang w:eastAsia="zh-CN"/>
        </w:rPr>
      </w:pPr>
    </w:p>
    <w:p w14:paraId="621E819A">
      <w:pPr>
        <w:pStyle w:val="2"/>
        <w:ind w:firstLine="653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bookmarkEnd w:id="10"/>
    <w:p w14:paraId="6D20DB11">
      <w:pPr>
        <w:widowControl w:val="0"/>
        <w:bidi w:val="0"/>
        <w:spacing w:line="560" w:lineRule="exact"/>
        <w:ind w:firstLine="560" w:firstLineChars="200"/>
        <w:jc w:val="both"/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</w:pPr>
      <w:bookmarkStart w:id="11" w:name="_Toc502337264"/>
      <w:r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  <w:t>在完成</w:t>
      </w:r>
      <w:r>
        <w:rPr>
          <w:rFonts w:hint="eastAsia" w:cs="Times New Roman"/>
          <w:kern w:val="2"/>
          <w:sz w:val="28"/>
          <w:szCs w:val="22"/>
          <w:lang w:val="en-US" w:eastAsia="zh-CN" w:bidi="ar-SA"/>
        </w:rPr>
        <w:t>本</w:t>
      </w:r>
      <w:r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  <w:t>课程</w:t>
      </w:r>
      <w:r>
        <w:rPr>
          <w:rFonts w:hint="eastAsia" w:cs="Times New Roman"/>
          <w:kern w:val="2"/>
          <w:sz w:val="28"/>
          <w:szCs w:val="22"/>
          <w:lang w:val="en-US" w:eastAsia="zh-CN" w:bidi="ar-SA"/>
        </w:rPr>
        <w:t>学习</w:t>
      </w:r>
      <w:r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  <w:t>后，学生应具备以下素质、知识和技能：</w:t>
      </w:r>
    </w:p>
    <w:p w14:paraId="4C2F4CA9">
      <w:pPr>
        <w:pStyle w:val="3"/>
        <w:keepNext/>
        <w:keepLines/>
        <w:widowControl w:val="0"/>
        <w:numPr>
          <w:ilvl w:val="0"/>
          <w:numId w:val="2"/>
        </w:numPr>
        <w:bidi w:val="0"/>
        <w:spacing w:before="260" w:after="260" w:line="440" w:lineRule="exact"/>
        <w:ind w:firstLine="562" w:firstLineChars="200"/>
        <w:jc w:val="both"/>
        <w:outlineLvl w:val="1"/>
        <w:rPr>
          <w:rFonts w:ascii="Times New Roman" w:hAnsi="Times New Roman" w:eastAsia="仿宋_GB2312" w:cs="Times New Roman"/>
          <w:b/>
          <w:bCs/>
          <w:kern w:val="2"/>
          <w:sz w:val="28"/>
          <w:szCs w:val="32"/>
          <w:lang w:bidi="ar-SA"/>
        </w:rPr>
      </w:pPr>
      <w:r>
        <w:rPr>
          <w:rFonts w:ascii="Times New Roman" w:hAnsi="Times New Roman" w:eastAsia="仿宋_GB2312" w:cs="Times New Roman"/>
          <w:b/>
          <w:bCs/>
          <w:kern w:val="2"/>
          <w:sz w:val="28"/>
          <w:szCs w:val="32"/>
          <w:lang w:bidi="ar-SA"/>
        </w:rPr>
        <w:t>素质目标</w:t>
      </w:r>
    </w:p>
    <w:p w14:paraId="75B481B4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1.创新意识与探索精神：培养在财务自动化领域的技术创新与流程优化能力。</w:t>
      </w:r>
    </w:p>
    <w:p w14:paraId="66AE7388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2.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信息素养与数字化思维：树立数据安全与算法合规意识，适应财务数字化转型需求。</w:t>
      </w:r>
    </w:p>
    <w:p w14:paraId="0A3BEC9A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3.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团队协作与责任担当：强化在真实项目中的协作能力与财税合规责任意识。</w:t>
      </w:r>
    </w:p>
    <w:p w14:paraId="5F2F42D0"/>
    <w:p w14:paraId="031AAB23">
      <w:pPr>
        <w:pStyle w:val="3"/>
        <w:numPr>
          <w:ilvl w:val="0"/>
          <w:numId w:val="2"/>
        </w:numPr>
        <w:ind w:firstLine="560"/>
      </w:pPr>
      <w:bookmarkStart w:id="12" w:name="_Toc24734"/>
      <w:bookmarkStart w:id="13" w:name="_Toc90472988"/>
      <w:bookmarkStart w:id="14" w:name="_Toc1104"/>
      <w:r>
        <w:rPr>
          <w:rFonts w:hint="eastAsia"/>
        </w:rPr>
        <w:t>知识目标</w:t>
      </w:r>
      <w:bookmarkEnd w:id="11"/>
      <w:bookmarkEnd w:id="12"/>
      <w:bookmarkEnd w:id="13"/>
      <w:bookmarkEnd w:id="14"/>
      <w:bookmarkStart w:id="15" w:name="_Toc502337265"/>
    </w:p>
    <w:p w14:paraId="4BF0AAF7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>掌握财务机器人核心技术（低代码开发、OCR/NLP、API 集成等）及应用原理。</w:t>
      </w:r>
    </w:p>
    <w:p w14:paraId="0F48A733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2.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t>熟悉 “企业财务智能运维师”“税务大数据分析师” 等新岗位工作规范。</w:t>
      </w:r>
    </w:p>
    <w:p w14:paraId="717C34BB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cs="宋体"/>
          <w:color w:val="FF0000"/>
          <w:lang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3.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t>理解《数据安全法》在财务数据处理中的应用及算法公平性伦理要求。</w:t>
      </w:r>
      <w:bookmarkStart w:id="16" w:name="_Toc30755"/>
      <w:bookmarkStart w:id="17" w:name="_Toc90472989"/>
      <w:bookmarkStart w:id="18" w:name="_Toc12623"/>
    </w:p>
    <w:p w14:paraId="3824FC18">
      <w:pPr>
        <w:pStyle w:val="3"/>
        <w:numPr>
          <w:ilvl w:val="0"/>
          <w:numId w:val="2"/>
        </w:numPr>
        <w:ind w:firstLine="560"/>
      </w:pPr>
      <w:r>
        <w:rPr>
          <w:rFonts w:hint="eastAsia"/>
        </w:rPr>
        <w:t>能力目标</w:t>
      </w:r>
      <w:bookmarkEnd w:id="15"/>
      <w:bookmarkEnd w:id="16"/>
      <w:bookmarkEnd w:id="17"/>
      <w:bookmarkEnd w:id="18"/>
    </w:p>
    <w:p w14:paraId="4035C0F3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>配置与开发能力：独立完成低代码财务机器人开发与多系统 API 对接。</w:t>
      </w:r>
    </w:p>
    <w:p w14:paraId="601914C1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2.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t>智能处理能力：运用 OCR+NLP 技术实现票据自动化识别与处理。</w:t>
      </w:r>
    </w:p>
    <w:p w14:paraId="126C4974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3.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t>数据素养能力：通过 Python+Pandas 进行财务异常数据清洗，用 Power BI 制作可视化看板。</w:t>
      </w:r>
    </w:p>
    <w:p w14:paraId="690AA9DD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240" w:lineRule="auto"/>
        <w:jc w:val="both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4.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t>合规优化能力：识别财务机器人应用中的合规风险并提出优化方案。</w:t>
      </w:r>
    </w:p>
    <w:p w14:paraId="1CB9A4D5">
      <w:pPr>
        <w:pStyle w:val="2"/>
      </w:pPr>
      <w:bookmarkStart w:id="19" w:name="_Toc11296"/>
      <w:bookmarkStart w:id="20" w:name="_Toc24423"/>
      <w:r>
        <w:rPr>
          <w:rFonts w:hint="eastAsia"/>
        </w:rPr>
        <w:t>四、课程职业能力分析</w:t>
      </w:r>
      <w:bookmarkEnd w:id="19"/>
      <w:bookmarkEnd w:id="20"/>
    </w:p>
    <w:p w14:paraId="18F53867">
      <w:pPr>
        <w:widowControl/>
        <w:spacing w:before="156" w:beforeLines="50"/>
        <w:ind w:firstLine="0" w:firstLineChars="0"/>
        <w:jc w:val="center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课程职业能力分析表</w:t>
      </w:r>
    </w:p>
    <w:tbl>
      <w:tblPr>
        <w:tblStyle w:val="14"/>
        <w:tblW w:w="9152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09"/>
        <w:gridCol w:w="1851"/>
        <w:gridCol w:w="2268"/>
        <w:gridCol w:w="2347"/>
      </w:tblGrid>
      <w:tr w14:paraId="58DD7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7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183AA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40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4C5BC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85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280E3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731CB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231E34D4">
            <w:pPr>
              <w:widowControl/>
              <w:spacing w:line="400" w:lineRule="exact"/>
              <w:ind w:firstLine="0" w:firstLineChars="0"/>
              <w:jc w:val="center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 w14:paraId="682C0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</w:trPr>
        <w:tc>
          <w:tcPr>
            <w:tcW w:w="1277" w:type="dxa"/>
            <w:vMerge w:val="restart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159D3CBE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/>
              </w:rPr>
              <w:t>财务流程自动化设计师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90515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/>
              </w:rPr>
              <w:t>流程自动化方案设计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998BA50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/>
              </w:rPr>
              <w:t>识别财务可自动化环节，设计低代码解决方案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F3E72">
            <w:pPr>
              <w:spacing w:before="2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/>
              </w:rPr>
              <w:t>流程建模、低代码开发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5DC0885B">
            <w:pPr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/>
              </w:rPr>
              <w:t>流程建模、低代码开发</w:t>
            </w:r>
          </w:p>
        </w:tc>
      </w:tr>
      <w:tr w14:paraId="1EEF42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127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232CF45B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yellow"/>
              </w:rPr>
            </w:pPr>
            <w:r>
              <w:rPr>
                <w:rFonts w:hint="eastAsia"/>
              </w:rPr>
              <w:t>RPA 运维工程师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E5BF3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yellow"/>
              </w:rPr>
            </w:pPr>
            <w:r>
              <w:rPr>
                <w:rFonts w:hint="eastAsia"/>
              </w:rPr>
              <w:t>机器人部署与优化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A7D9751">
            <w:pPr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/>
              </w:rPr>
              <w:t>财务机器人日常运维、跨系统集成调试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14FC7">
            <w:pPr>
              <w:spacing w:before="3" w:line="242" w:lineRule="auto"/>
              <w:ind w:right="-15" w:firstLine="560" w:firstLineChars="20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/>
              </w:rPr>
              <w:t>API调用、系统调试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505C15A1">
            <w:pPr>
              <w:spacing w:line="240" w:lineRule="auto"/>
              <w:ind w:firstLine="560" w:firstLineChars="200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/>
              </w:rPr>
              <w:t>API调用、系统调试</w:t>
            </w:r>
          </w:p>
        </w:tc>
      </w:tr>
      <w:tr w14:paraId="303D7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7242CDB8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yellow"/>
              </w:rPr>
            </w:pPr>
            <w:r>
              <w:rPr>
                <w:rFonts w:hint="eastAsia"/>
              </w:rPr>
              <w:t>企业财务智能运维师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F04B1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/>
              </w:rPr>
              <w:t>智能财务系统运营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C692C">
            <w:pPr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/>
              </w:rPr>
              <w:t>财务数据脱敏处理、机器人合规性监控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8DF3A">
            <w:pPr>
              <w:ind w:left="0" w:leftChars="0" w:firstLine="0" w:firstLineChars="0"/>
              <w:jc w:val="left"/>
              <w:rPr>
                <w:rFonts w:hint="eastAsia" w:ascii="仿宋" w:hAnsi="仿宋" w:eastAsia="仿宋" w:cs="仿宋"/>
                <w:spacing w:val="-7"/>
                <w:sz w:val="28"/>
                <w:szCs w:val="28"/>
              </w:rPr>
            </w:pPr>
            <w:r>
              <w:rPr>
                <w:rFonts w:hint="eastAsia"/>
              </w:rPr>
              <w:t>数据安全防护、风险排查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CCE0821">
            <w:pPr>
              <w:spacing w:line="240" w:lineRule="auto"/>
              <w:ind w:left="0" w:leftChars="0" w:firstLine="0" w:firstLineChars="0"/>
              <w:jc w:val="left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/>
              </w:rPr>
              <w:t>数据安全防护、风险排查</w:t>
            </w:r>
          </w:p>
        </w:tc>
      </w:tr>
      <w:tr w14:paraId="5F5A1D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06C48B9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  <w:highlight w:val="yellow"/>
              </w:rPr>
            </w:pPr>
            <w:r>
              <w:rPr>
                <w:rFonts w:hint="eastAsia"/>
              </w:rPr>
              <w:t>税务大数据分析师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EC324">
            <w:pPr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/>
              </w:rPr>
              <w:t>税务数据自动化分析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0FF11">
            <w:pPr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/>
              </w:rPr>
              <w:t>税务数据清洗、异常指标可视化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7B35A">
            <w:pPr>
              <w:spacing w:before="1" w:line="242" w:lineRule="auto"/>
              <w:ind w:left="0" w:leftChars="0" w:right="-15" w:firstLine="0" w:firstLineChars="0"/>
              <w:jc w:val="both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/>
              </w:rPr>
              <w:t>数据清洗、Power Bl应用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4482903">
            <w:pPr>
              <w:spacing w:line="240" w:lineRule="auto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/>
              </w:rPr>
              <w:t>数据清洗、Power Bl应用</w:t>
            </w:r>
          </w:p>
        </w:tc>
      </w:tr>
    </w:tbl>
    <w:p w14:paraId="0AD65DD3">
      <w:pPr>
        <w:pStyle w:val="2"/>
        <w:ind w:firstLine="560"/>
      </w:pPr>
      <w:bookmarkStart w:id="21" w:name="_Toc30005"/>
      <w:bookmarkStart w:id="22" w:name="_Toc27541"/>
      <w:bookmarkStart w:id="23" w:name="_Toc502337266"/>
      <w:r>
        <w:rPr>
          <w:rFonts w:hint="eastAsia"/>
        </w:rPr>
        <w:t>五、课程设计思路</w:t>
      </w:r>
      <w:bookmarkEnd w:id="21"/>
      <w:bookmarkEnd w:id="22"/>
    </w:p>
    <w:p w14:paraId="1E91BAE2">
      <w:pPr>
        <w:ind w:firstLine="560"/>
        <w:rPr>
          <w:rFonts w:hint="eastAsia" w:ascii="仿宋" w:hAnsi="仿宋" w:eastAsia="仿宋" w:cs="仿宋"/>
          <w:color w:val="auto"/>
          <w:lang w:eastAsia="zh-CN"/>
        </w:rPr>
      </w:pPr>
      <w:r>
        <w:rPr>
          <w:rFonts w:hint="eastAsia" w:ascii="仿宋" w:hAnsi="仿宋" w:eastAsia="仿宋" w:cs="仿宋"/>
          <w:color w:val="auto"/>
          <w:lang w:eastAsia="zh-CN"/>
        </w:rPr>
        <w:t>采用 “理论 - 实践 - 协同” 三维教学路径：理论层聚焦新岗位知识与技术原理；实践层通过企业真实项目（财务共享中心票据机器人部署等）强化实操；协同层与《财务大数据分析》联合设计 “销售预测机器人 + 经营看板” 综合项目，纳入 “智能财税课程群” 共享企业数据集。评价采用 “岗位任务量化达标制”，强化职业技能达成度考核。</w:t>
      </w:r>
    </w:p>
    <w:p w14:paraId="72B72403">
      <w:pPr>
        <w:ind w:firstLine="560"/>
        <w:rPr>
          <w:rFonts w:hint="eastAsia" w:ascii="仿宋" w:hAnsi="仿宋" w:eastAsia="仿宋" w:cs="仿宋"/>
          <w:color w:val="auto"/>
          <w:lang w:eastAsia="zh-CN"/>
        </w:rPr>
      </w:pPr>
      <w:r>
        <w:rPr>
          <w:rFonts w:hint="eastAsia" w:ascii="仿宋" w:hAnsi="仿宋" w:eastAsia="仿宋" w:cs="仿宋"/>
          <w:color w:val="auto"/>
          <w:lang w:eastAsia="zh-CN"/>
        </w:rPr>
        <w:t>在教学路径方面，课程将采用理论与实践相结合的方式，通过案例分析、项目实践等形式，帮助学生掌握RPA财务机器人的应用与开发技能。首先，通过理论讲解，使学生了解RPA技术的基本原理和应用场景；其次，通过案例分析，让学生了解RPA在财务领域中的具体应用，包括财务流程自动化分析与设计、RPA项目开发与实施等；最后，通过项目实践，让学生亲自参与RPA财务机器人的开发过程，从需求分析、方案设计、开发实施到测试优化，全面提升学生的实践能力和解决问题的能力。</w:t>
      </w:r>
    </w:p>
    <w:p w14:paraId="7969729D">
      <w:pPr>
        <w:ind w:firstLine="560"/>
        <w:rPr>
          <w:rFonts w:hint="eastAsia" w:ascii="仿宋" w:hAnsi="仿宋" w:eastAsia="仿宋" w:cs="仿宋"/>
          <w:color w:val="auto"/>
          <w:lang w:eastAsia="zh-CN"/>
        </w:rPr>
      </w:pPr>
      <w:r>
        <w:rPr>
          <w:rFonts w:hint="eastAsia" w:ascii="仿宋" w:hAnsi="仿宋" w:eastAsia="仿宋" w:cs="仿宋"/>
          <w:color w:val="auto"/>
          <w:lang w:eastAsia="zh-CN"/>
        </w:rPr>
        <w:t>在教学评价方面，课程将采用多元化的评价方式，包括课堂表现、作业完成情况、项目实践成果等。通过定期的测试和考核，及时了解学生的学习情况和问题，针对性地给予指导和帮助，确保学生能够全面掌握课程内容。同时，鼓励学生参与课程思政活动，将课程内容与职业道德、社会责任等相结合，培养学生的综合素质和社会责任感。</w:t>
      </w:r>
    </w:p>
    <w:bookmarkEnd w:id="23"/>
    <w:p w14:paraId="36843E41">
      <w:pPr>
        <w:pStyle w:val="2"/>
        <w:ind w:firstLine="0" w:firstLineChars="0"/>
        <w:rPr>
          <w:rFonts w:hint="eastAsia" w:ascii="仿宋_GB2312" w:hAnsi="仿宋_GB2312" w:cs="仿宋_GB2312"/>
          <w:b/>
          <w:bCs/>
          <w:sz w:val="24"/>
          <w:szCs w:val="21"/>
        </w:rPr>
      </w:pPr>
      <w:bookmarkStart w:id="24" w:name="_Toc11466"/>
      <w:bookmarkStart w:id="25" w:name="_Toc8844"/>
      <w:r>
        <w:rPr>
          <w:rFonts w:hint="eastAsia"/>
        </w:rPr>
        <w:t>六、课程结构与内容</w:t>
      </w:r>
      <w:bookmarkEnd w:id="24"/>
      <w:bookmarkEnd w:id="25"/>
      <w:bookmarkStart w:id="26" w:name="_Toc7467"/>
      <w:bookmarkStart w:id="27" w:name="_Toc19213"/>
    </w:p>
    <w:p w14:paraId="1D688B71">
      <w:pPr>
        <w:ind w:firstLine="480"/>
        <w:jc w:val="center"/>
        <w:rPr>
          <w:rFonts w:hint="eastAsia" w:ascii="仿宋_GB2312" w:hAnsi="仿宋_GB2312" w:cs="仿宋_GB2312"/>
          <w:b/>
          <w:bCs/>
          <w:sz w:val="24"/>
          <w:szCs w:val="21"/>
        </w:rPr>
      </w:pPr>
    </w:p>
    <w:p w14:paraId="2E2C554F">
      <w:pPr>
        <w:ind w:firstLine="480"/>
        <w:jc w:val="center"/>
        <w:rPr>
          <w:rFonts w:hint="eastAsia"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表3.课程设计方案</w:t>
      </w:r>
      <w:bookmarkEnd w:id="26"/>
      <w:bookmarkEnd w:id="27"/>
    </w:p>
    <w:p w14:paraId="2669746B">
      <w:pPr>
        <w:ind w:firstLine="480"/>
        <w:jc w:val="center"/>
        <w:rPr>
          <w:rFonts w:hint="eastAsia" w:ascii="仿宋_GB2312" w:hAnsi="仿宋_GB2312" w:cs="仿宋_GB2312"/>
          <w:b/>
          <w:bCs/>
          <w:sz w:val="24"/>
          <w:szCs w:val="21"/>
        </w:rPr>
      </w:pPr>
    </w:p>
    <w:tbl>
      <w:tblPr>
        <w:tblStyle w:val="14"/>
        <w:tblW w:w="8948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183"/>
        <w:gridCol w:w="1936"/>
        <w:gridCol w:w="1842"/>
        <w:gridCol w:w="1843"/>
        <w:gridCol w:w="567"/>
      </w:tblGrid>
      <w:tr w14:paraId="29E6E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5D176F0">
            <w:pPr>
              <w:ind w:firstLine="0" w:firstLineChars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7FCCBAB6">
            <w:pPr>
              <w:ind w:firstLine="0" w:firstLineChars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课程内容</w:t>
            </w:r>
          </w:p>
          <w:p w14:paraId="6C23DD1D">
            <w:pPr>
              <w:ind w:firstLine="0" w:firstLineChars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（模块/项目）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6E68B43">
            <w:pPr>
              <w:ind w:firstLine="0" w:firstLineChars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学习任务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5794834">
            <w:pPr>
              <w:ind w:firstLine="0" w:firstLineChars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学习内容和要求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58D3DBF0">
            <w:pPr>
              <w:ind w:firstLine="0" w:firstLineChars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2A9795A">
            <w:pPr>
              <w:ind w:firstLine="0" w:firstLineChars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AA15281">
            <w:pPr>
              <w:ind w:firstLine="0" w:firstLineChars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学时</w:t>
            </w:r>
          </w:p>
        </w:tc>
      </w:tr>
      <w:tr w14:paraId="30179D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8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B087846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2EFAE022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1"/>
              </w:rPr>
              <w:t>RPA 技术基础与新职业认知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97555DC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掌握 RPA 核心概念与新岗位要求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961C236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新职业目录解读、RPA 技术原理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443109F7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案例教学 +工具实操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5A43F4EA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技术创新与职业责任关联教育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C179763">
            <w:pPr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</w:tr>
      <w:tr w14:paraId="4DD9B7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6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88ADDAE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026751DA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财务机器人低代码开发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0BBD26A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开发基础财务自动化流程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312D96CA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低代码平台操作、简单机器人开发</w:t>
            </w:r>
          </w:p>
        </w:tc>
        <w:tc>
          <w:tcPr>
            <w:tcW w:w="1842" w:type="dxa"/>
            <w:tcBorders>
              <w:tl2br w:val="nil"/>
              <w:tr2bl w:val="nil"/>
            </w:tcBorders>
          </w:tcPr>
          <w:p w14:paraId="6C936706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1"/>
              </w:rPr>
              <w:t>项目驱动教学</w:t>
            </w:r>
          </w:p>
        </w:tc>
        <w:tc>
          <w:tcPr>
            <w:tcW w:w="1843" w:type="dxa"/>
            <w:tcBorders>
              <w:tl2br w:val="nil"/>
              <w:tr2bl w:val="nil"/>
            </w:tcBorders>
          </w:tcPr>
          <w:p w14:paraId="67D433A5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规范开发意识培养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2CE427E">
            <w:pPr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</w:p>
        </w:tc>
      </w:tr>
      <w:tr w14:paraId="655BD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593A7A7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5C937627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OCR+NLP 智能票据处理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202890C2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实现发票自动识别与验真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3515CCD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票据识别模型训练、数据提取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3A9F50E9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企业真实票据数据集实操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643972F0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数据真实性与诚信教育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AFB4A3E">
            <w:pPr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</w:p>
        </w:tc>
      </w:tr>
      <w:tr w14:paraId="1EE20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4B6C3995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11E9F6FA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ERP 与税务系统 API集成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7B4933C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完成跨系统数据对接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25D09F32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API接口调试、数据同步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4639C1A8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系统接口规范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635BCC4F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数据安全合规教育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3B9EDBB">
            <w:pPr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</w:p>
        </w:tc>
      </w:tr>
      <w:tr w14:paraId="5B8AA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F8744CA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6366D41E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财务大数据处理实务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7AE481D3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数据清洗与可视化输出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767FBBC0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Python+Power Bl应用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1D52A55F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数据清洗算法、可视化原理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069EE14A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数据隐私保护意识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18359B11">
            <w:pPr>
              <w:ind w:firstLine="0" w:firstLineChars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</w:t>
            </w:r>
          </w:p>
        </w:tc>
      </w:tr>
      <w:tr w14:paraId="5B71B0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504BAB00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365AB3A0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企业真实项目实训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6A3EAD47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财务共享中心机器人部署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503279D7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全流程机器人开发与运维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622D898B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企业现场教学 +导师指导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7A149582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团队协作与责任担当教育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DD2D7E5">
            <w:pPr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12</w:t>
            </w:r>
          </w:p>
        </w:tc>
      </w:tr>
      <w:tr w14:paraId="1361E1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192CA0BB">
            <w:pPr>
              <w:spacing w:line="240" w:lineRule="auto"/>
              <w:ind w:firstLine="0" w:firstLineChars="0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76EA6F72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综合项目考核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BB63B0C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销售预测机器人 +看板开发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6B937BBE">
            <w:pPr>
              <w:spacing w:line="240" w:lineRule="auto"/>
              <w:ind w:firstLine="480" w:firstLineChars="20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跨课程协同完成综合项目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4EF59870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成果展示 +答辩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648599C2">
            <w:pPr>
              <w:spacing w:line="240" w:lineRule="auto"/>
              <w:ind w:firstLine="480" w:firstLineChars="20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/>
                <w:sz w:val="24"/>
                <w:szCs w:val="21"/>
              </w:rPr>
              <w:t>职业素养综合评价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001F6BDD">
            <w:pPr>
              <w:ind w:firstLine="0" w:firstLineChars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10</w:t>
            </w:r>
          </w:p>
        </w:tc>
      </w:tr>
    </w:tbl>
    <w:p w14:paraId="24820017">
      <w:pPr>
        <w:ind w:firstLine="480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0A6BD2BF">
      <w:pPr>
        <w:pStyle w:val="2"/>
        <w:ind w:firstLine="653"/>
        <w:rPr>
          <w:rFonts w:hint="eastAsia" w:ascii="仿宋" w:hAnsi="仿宋" w:eastAsia="仿宋" w:cs="仿宋"/>
          <w:sz w:val="28"/>
          <w:szCs w:val="28"/>
        </w:rPr>
      </w:pPr>
      <w:bookmarkStart w:id="28" w:name="_Toc18126"/>
      <w:bookmarkStart w:id="29" w:name="_Toc502337267"/>
      <w:bookmarkStart w:id="30" w:name="_Toc20287"/>
      <w:r>
        <w:rPr>
          <w:rFonts w:hint="eastAsia" w:ascii="仿宋" w:hAnsi="仿宋" w:eastAsia="仿宋" w:cs="仿宋"/>
          <w:sz w:val="28"/>
          <w:szCs w:val="28"/>
        </w:rPr>
        <w:t>七、学习评价</w:t>
      </w:r>
      <w:bookmarkEnd w:id="28"/>
      <w:bookmarkEnd w:id="29"/>
      <w:bookmarkEnd w:id="30"/>
    </w:p>
    <w:p w14:paraId="6580A2EE">
      <w:pPr>
        <w:spacing w:line="360" w:lineRule="auto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本课程达标要求：</w:t>
      </w:r>
      <w:r>
        <w:rPr>
          <w:rFonts w:hint="eastAsia" w:ascii="仿宋" w:hAnsi="仿宋" w:eastAsia="仿宋" w:cs="仿宋"/>
          <w:color w:val="FF0000"/>
          <w:sz w:val="28"/>
          <w:szCs w:val="28"/>
        </w:rPr>
        <w:t>（分模块设计）</w:t>
      </w:r>
    </w:p>
    <w:p w14:paraId="12F7717C">
      <w:pPr>
        <w:ind w:firstLine="480"/>
        <w:jc w:val="center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表4. 学习评价表</w:t>
      </w:r>
    </w:p>
    <w:tbl>
      <w:tblPr>
        <w:tblStyle w:val="14"/>
        <w:tblW w:w="965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1356"/>
        <w:gridCol w:w="3024"/>
        <w:gridCol w:w="2505"/>
        <w:gridCol w:w="1134"/>
      </w:tblGrid>
      <w:tr w14:paraId="4071A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39C9608A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D89545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课程内容</w:t>
            </w:r>
          </w:p>
          <w:p w14:paraId="18756F04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（模块/项目）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6C30A506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学习任务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vAlign w:val="center"/>
          </w:tcPr>
          <w:p w14:paraId="2137B65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评价标准</w:t>
            </w:r>
          </w:p>
          <w:p w14:paraId="715AF54E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（学习产出合格要求）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4981990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评价方法</w:t>
            </w:r>
          </w:p>
          <w:p w14:paraId="0BD8D71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（方法、工具、场所）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18C091FB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占比</w:t>
            </w:r>
          </w:p>
          <w:p w14:paraId="2EAD10FE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（%）</w:t>
            </w:r>
          </w:p>
        </w:tc>
      </w:tr>
      <w:tr w14:paraId="3F37F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  <w:vAlign w:val="center"/>
          </w:tcPr>
          <w:p w14:paraId="63FB335B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</w:p>
          <w:p w14:paraId="36EE0C3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过程性评价</w:t>
            </w: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</w:tcPr>
          <w:p w14:paraId="655771DF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>智能财务认知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B85452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了解人工智能的基本概念、发展历程及其在财务领域的应用 </w:t>
            </w:r>
          </w:p>
        </w:tc>
        <w:tc>
          <w:tcPr>
            <w:tcW w:w="3024" w:type="dxa"/>
            <w:vMerge w:val="restart"/>
            <w:tcBorders>
              <w:tl2br w:val="nil"/>
              <w:tr2bl w:val="nil"/>
            </w:tcBorders>
            <w:vAlign w:val="center"/>
          </w:tcPr>
          <w:p w14:paraId="733D7B8C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学生能够准确阐述人工智能的基本概念、发展历程，并能具体说明其在财务领域的应用实例；能够深入分析智能技术与财务管理流程的结合方式，并提出提升效率的具体建议；</w:t>
            </w: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</w:tcPr>
          <w:p w14:paraId="2EE1A51D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课堂讨论、小组作业、案例分析、实践操作</w:t>
            </w:r>
          </w:p>
          <w:p w14:paraId="1AB1169C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70FD4473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30</w:t>
            </w:r>
          </w:p>
        </w:tc>
      </w:tr>
      <w:tr w14:paraId="30D6F4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031FF9A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792799D9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46110A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探索智能技术如何与财务管理流程相结合，提升效率 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</w:tcPr>
          <w:p w14:paraId="3E08AC89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</w:tcPr>
          <w:p w14:paraId="6DCFE001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  <w:vAlign w:val="center"/>
          </w:tcPr>
          <w:p w14:paraId="5AD17734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243BAC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417C7623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vAlign w:val="center"/>
          </w:tcPr>
          <w:p w14:paraId="5ECCEADD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>RPA 技术应用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B0B6E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学习RPA的基本原理和在财务领域的应用场景 </w:t>
            </w:r>
          </w:p>
        </w:tc>
        <w:tc>
          <w:tcPr>
            <w:tcW w:w="3024" w:type="dxa"/>
            <w:vMerge w:val="restart"/>
            <w:tcBorders>
              <w:tl2br w:val="nil"/>
              <w:tr2bl w:val="nil"/>
            </w:tcBorders>
          </w:tcPr>
          <w:p w14:paraId="18A622F4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能够熟练掌握RPA的基本原理，明确其在财务领域的应用场景，并能独立完成智多星RPA工具的使用，实现财务流程的自动化；</w:t>
            </w: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</w:tcPr>
          <w:p w14:paraId="2902DEC6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课堂讨论、小组作业、案例分析、实践操作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项目报告、</w:t>
            </w:r>
          </w:p>
          <w:p w14:paraId="09B297D6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459946BD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30</w:t>
            </w:r>
          </w:p>
        </w:tc>
      </w:tr>
      <w:tr w14:paraId="183B2D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204953A7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381AF992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E52FF3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掌握智多星RPA工具的使用，进行财务流程自动化 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</w:tcPr>
          <w:p w14:paraId="5C6D7C48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</w:tcPr>
          <w:p w14:paraId="6F45AB7F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  <w:vAlign w:val="center"/>
          </w:tcPr>
          <w:p w14:paraId="5ED12311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39B14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3153176A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vAlign w:val="center"/>
          </w:tcPr>
          <w:p w14:paraId="5BB61CBE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 更多财务机器人应用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7979B1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了解VPA机器人的基本原理和应用场景 </w:t>
            </w:r>
          </w:p>
        </w:tc>
        <w:tc>
          <w:tcPr>
            <w:tcW w:w="3024" w:type="dxa"/>
            <w:vMerge w:val="restart"/>
            <w:tcBorders>
              <w:tl2br w:val="nil"/>
              <w:tr2bl w:val="nil"/>
            </w:tcBorders>
          </w:tcPr>
          <w:p w14:paraId="4B3245FE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能够全面了解VPA机器人、税务机器人、财资机器人和报表机器人的基本原理和应用场景，并能通过实践案例，展示其在提升税务处理效率、优化财务管理和提高报表处理自动化水平方面的作用；能够积极探索其他类型的机器人在财务领域的应用，并具备通过综合案例实践和优化财务机器人应用效果的能力。</w:t>
            </w:r>
          </w:p>
          <w:p w14:paraId="14EC6A7E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</w:tcPr>
          <w:p w14:paraId="4DC1812E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课堂讨论、小组作业、案例分析、实践操作</w:t>
            </w:r>
          </w:p>
          <w:p w14:paraId="0DA45B8B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16B1AFC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40</w:t>
            </w:r>
          </w:p>
        </w:tc>
      </w:tr>
      <w:tr w14:paraId="37F0DA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1177E47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5D54601A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F7BE62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掌握税务机器人的应用，提升税务处理效率 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</w:tcPr>
          <w:p w14:paraId="234F6F86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</w:tcPr>
          <w:p w14:paraId="39762AD1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  <w:vAlign w:val="center"/>
          </w:tcPr>
          <w:p w14:paraId="0555642E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141346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2DF87DC3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30FD667A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51187C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掌握财资机器人的应用，优化财务管理 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  <w:vAlign w:val="center"/>
          </w:tcPr>
          <w:p w14:paraId="36250F6F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  <w:vAlign w:val="center"/>
          </w:tcPr>
          <w:p w14:paraId="46CDEC9E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64FB3453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3C9E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42871087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5291DB71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9C5412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学习报表机器人的应用，提高报表处理的自动化水平 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  <w:vAlign w:val="center"/>
          </w:tcPr>
          <w:p w14:paraId="4851FE1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  <w:vAlign w:val="center"/>
          </w:tcPr>
          <w:p w14:paraId="0C8DCA78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369D18B7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1F7F40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333D6EDB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56D295A2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C34C07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探索其他类型的机器人在财务领域的应用 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  <w:vAlign w:val="center"/>
          </w:tcPr>
          <w:p w14:paraId="4A48A32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  <w:vAlign w:val="center"/>
          </w:tcPr>
          <w:p w14:paraId="5FA6E2C2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2056080B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14E7E2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FCBD2F4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continue"/>
            <w:tcBorders>
              <w:bottom w:val="single" w:color="auto" w:sz="4" w:space="0"/>
              <w:tl2br w:val="nil"/>
              <w:tr2bl w:val="nil"/>
            </w:tcBorders>
            <w:vAlign w:val="center"/>
          </w:tcPr>
          <w:p w14:paraId="7968D7D8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2D6763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 xml:space="preserve">通过综合案例，实践财务机器人的应用 深入分析综合案例，优化财务机器人的应用效果 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  <w:vAlign w:val="center"/>
          </w:tcPr>
          <w:p w14:paraId="56E42CC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  <w:vAlign w:val="center"/>
          </w:tcPr>
          <w:p w14:paraId="0A970379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5E6CF46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22B74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1EE0FB70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97" w:type="dxa"/>
            <w:vMerge w:val="restart"/>
            <w:tcBorders>
              <w:top w:val="single" w:color="auto" w:sz="4" w:space="0"/>
              <w:tl2br w:val="nil"/>
              <w:tr2bl w:val="nil"/>
            </w:tcBorders>
            <w:vAlign w:val="center"/>
          </w:tcPr>
          <w:p w14:paraId="381AC743">
            <w:pPr>
              <w:spacing w:line="240" w:lineRule="auto"/>
              <w:ind w:firstLine="0" w:firstLineChars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B2B6E">
            <w:pPr>
              <w:spacing w:line="240" w:lineRule="auto"/>
              <w:ind w:firstLine="0" w:firstLineChars="0"/>
              <w:jc w:val="left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3024" w:type="dxa"/>
            <w:vMerge w:val="restart"/>
            <w:tcBorders>
              <w:tl2br w:val="nil"/>
              <w:tr2bl w:val="nil"/>
            </w:tcBorders>
            <w:vAlign w:val="center"/>
          </w:tcPr>
          <w:p w14:paraId="721744CD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  <w:vAlign w:val="center"/>
          </w:tcPr>
          <w:p w14:paraId="03485ED0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0A6A1514">
            <w:pPr>
              <w:spacing w:line="240" w:lineRule="auto"/>
              <w:ind w:firstLine="0" w:firstLineChars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39F783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C1D7F52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42AA4C83">
            <w:pPr>
              <w:spacing w:line="240" w:lineRule="auto"/>
              <w:ind w:firstLine="0" w:firstLineChars="0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1A46060C">
            <w:pPr>
              <w:spacing w:line="240" w:lineRule="auto"/>
              <w:ind w:firstLine="0" w:firstLineChars="0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  <w:vAlign w:val="center"/>
          </w:tcPr>
          <w:p w14:paraId="0B62C6A4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  <w:vAlign w:val="center"/>
          </w:tcPr>
          <w:p w14:paraId="676B319B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165AF1B6">
            <w:pPr>
              <w:spacing w:line="240" w:lineRule="auto"/>
              <w:ind w:firstLine="0" w:firstLineChars="0"/>
              <w:jc w:val="center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</w:tbl>
    <w:p w14:paraId="678BCB8B">
      <w:pPr>
        <w:pStyle w:val="2"/>
        <w:ind w:firstLine="653"/>
      </w:pPr>
      <w:bookmarkStart w:id="31" w:name="_Toc502337268"/>
      <w:bookmarkStart w:id="32" w:name="_Toc11140"/>
      <w:bookmarkStart w:id="33" w:name="_Toc18233"/>
      <w:r>
        <w:rPr>
          <w:rFonts w:hint="eastAsia"/>
        </w:rPr>
        <w:t>八、教学资源</w:t>
      </w:r>
      <w:bookmarkEnd w:id="31"/>
      <w:bookmarkEnd w:id="32"/>
      <w:bookmarkEnd w:id="33"/>
    </w:p>
    <w:p w14:paraId="790C8E27">
      <w:pPr>
        <w:pStyle w:val="3"/>
        <w:ind w:firstLine="560"/>
        <w:rPr>
          <w:rFonts w:hint="eastAsia"/>
        </w:rPr>
      </w:pPr>
      <w:bookmarkStart w:id="34" w:name="_Toc20587"/>
      <w:bookmarkStart w:id="35" w:name="_Toc16925"/>
      <w:r>
        <w:rPr>
          <w:rFonts w:hint="eastAsia"/>
        </w:rPr>
        <w:t>（一）主要参考教材</w:t>
      </w:r>
      <w:bookmarkEnd w:id="34"/>
      <w:bookmarkEnd w:id="35"/>
    </w:p>
    <w:p w14:paraId="6EAD14D2">
      <w:pPr>
        <w:spacing w:line="360" w:lineRule="auto"/>
        <w:ind w:firstLine="56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1.最新版《财务机器人低代码开发实务》（2025 年版）</w:t>
      </w:r>
    </w:p>
    <w:p w14:paraId="603BCEAA">
      <w:pPr>
        <w:spacing w:line="360" w:lineRule="auto"/>
        <w:ind w:firstLine="56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2.</w:t>
      </w:r>
      <w:r>
        <w:rPr>
          <w:rFonts w:hint="default" w:ascii="仿宋" w:hAnsi="仿宋" w:eastAsia="仿宋" w:cs="仿宋"/>
          <w:sz w:val="28"/>
          <w:szCs w:val="28"/>
          <w:lang w:val="en-US" w:eastAsia="zh-CN"/>
        </w:rPr>
        <w:t>《智能财税数据安全与合规》（2024 年版）</w:t>
      </w:r>
    </w:p>
    <w:p w14:paraId="1D2748E1">
      <w:pPr>
        <w:rPr>
          <w:rFonts w:hint="default" w:ascii="仿宋_GB2312" w:hAnsi="仿宋_GB2312" w:eastAsia="仿宋_GB2312" w:cs="仿宋_GB2312"/>
          <w:sz w:val="21"/>
          <w:szCs w:val="21"/>
          <w:lang w:val="en-US" w:eastAsia="zh-CN"/>
        </w:rPr>
      </w:pPr>
    </w:p>
    <w:p w14:paraId="7AF20F81">
      <w:pPr>
        <w:pStyle w:val="3"/>
        <w:ind w:firstLine="560"/>
        <w:rPr>
          <w:rFonts w:hint="eastAsia"/>
        </w:rPr>
      </w:pPr>
      <w:bookmarkStart w:id="36" w:name="_Toc29665"/>
      <w:bookmarkStart w:id="37" w:name="_Toc17555"/>
      <w:r>
        <w:rPr>
          <w:rFonts w:hint="eastAsia"/>
        </w:rPr>
        <w:t>（二）其他参考资料</w:t>
      </w:r>
      <w:bookmarkEnd w:id="36"/>
      <w:bookmarkEnd w:id="37"/>
    </w:p>
    <w:p w14:paraId="4726A8AC">
      <w:pPr>
        <w:pStyle w:val="3"/>
        <w:ind w:firstLine="560"/>
        <w:rPr>
          <w:rFonts w:hint="default" w:ascii="仿宋" w:hAnsi="仿宋" w:eastAsia="仿宋" w:cs="仿宋"/>
          <w:b w:val="0"/>
          <w:bCs w:val="0"/>
          <w:kern w:val="2"/>
          <w:sz w:val="28"/>
          <w:szCs w:val="28"/>
          <w:lang w:val="en-US" w:eastAsia="zh-CN" w:bidi="ar-SA"/>
        </w:rPr>
      </w:pPr>
      <w:bookmarkStart w:id="38" w:name="_Toc21776"/>
      <w:bookmarkStart w:id="39" w:name="_Toc27934"/>
      <w:r>
        <w:rPr>
          <w:rFonts w:hint="default" w:ascii="仿宋" w:hAnsi="仿宋" w:eastAsia="仿宋" w:cs="仿宋"/>
          <w:b w:val="0"/>
          <w:bCs w:val="0"/>
          <w:kern w:val="2"/>
          <w:sz w:val="28"/>
          <w:szCs w:val="28"/>
          <w:lang w:val="en-US" w:eastAsia="zh-CN" w:bidi="ar-SA"/>
        </w:rPr>
        <w:t>《2025 年新职业技能等级评价标准》《数据安全法实务指南》</w:t>
      </w:r>
    </w:p>
    <w:p w14:paraId="01DC1869">
      <w:pPr>
        <w:pStyle w:val="3"/>
        <w:ind w:firstLine="560"/>
      </w:pPr>
      <w:r>
        <w:rPr>
          <w:rFonts w:hint="eastAsia"/>
        </w:rPr>
        <w:t>（三）实训条件</w:t>
      </w:r>
      <w:bookmarkEnd w:id="38"/>
      <w:bookmarkEnd w:id="39"/>
    </w:p>
    <w:p w14:paraId="7B9369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bookmarkStart w:id="40" w:name="_Toc7079"/>
      <w:bookmarkStart w:id="41" w:name="_Toc29888"/>
      <w:r>
        <w:rPr>
          <w:rFonts w:hint="eastAsia" w:ascii="仿宋_GB2312" w:hAnsi="仿宋_GB2312" w:cs="仿宋_GB2312"/>
          <w:kern w:val="2"/>
          <w:sz w:val="28"/>
          <w:szCs w:val="28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硬件设施：智能财税实训室、企业级服务器</w:t>
      </w:r>
    </w:p>
    <w:p w14:paraId="76AF15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cs="仿宋_GB2312"/>
          <w:kern w:val="2"/>
          <w:sz w:val="28"/>
          <w:szCs w:val="28"/>
          <w:lang w:val="en-US" w:eastAsia="zh-CN" w:bidi="ar-SA"/>
        </w:rPr>
        <w:t>2.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软件设施：金蝶云星空 RPA 开发平台、智能财税云平台</w:t>
      </w:r>
    </w:p>
    <w:p w14:paraId="75FA7429">
      <w:pPr>
        <w:pStyle w:val="3"/>
        <w:ind w:firstLine="560"/>
        <w:rPr>
          <w:rFonts w:hint="eastAsia"/>
        </w:rPr>
      </w:pPr>
      <w:r>
        <w:rPr>
          <w:rFonts w:hint="eastAsia"/>
        </w:rPr>
        <w:t>（四）信息化教学资源</w:t>
      </w:r>
      <w:bookmarkEnd w:id="40"/>
      <w:bookmarkEnd w:id="41"/>
    </w:p>
    <w:p w14:paraId="461030C6"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行业案例库、企业真实数据集、RPA 开发者社区资源</w:t>
      </w:r>
    </w:p>
    <w:p w14:paraId="5BBE0D6B">
      <w:pPr>
        <w:pStyle w:val="2"/>
        <w:ind w:firstLine="653"/>
        <w:rPr>
          <w:rFonts w:hint="eastAsia"/>
        </w:rPr>
      </w:pPr>
      <w:bookmarkStart w:id="42" w:name="_Toc12227"/>
      <w:bookmarkStart w:id="43" w:name="_Toc6694"/>
      <w:bookmarkStart w:id="44" w:name="_Hlk90479468"/>
      <w:r>
        <w:rPr>
          <w:rFonts w:hint="eastAsia"/>
        </w:rPr>
        <w:t>九、师资要求</w:t>
      </w:r>
      <w:bookmarkEnd w:id="42"/>
      <w:bookmarkEnd w:id="43"/>
    </w:p>
    <w:p w14:paraId="48B7A5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bookmarkStart w:id="45" w:name="_Toc502337269"/>
      <w:bookmarkStart w:id="46" w:name="_Toc29184"/>
      <w:bookmarkStart w:id="47" w:name="_Toc3001"/>
      <w:r>
        <w:rPr>
          <w:rFonts w:hint="eastAsia" w:ascii="仿宋_GB2312" w:hAnsi="仿宋_GB2312" w:cs="仿宋_GB2312"/>
          <w:kern w:val="2"/>
          <w:sz w:val="28"/>
          <w:szCs w:val="28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专任教师需具备高校教师资格，财会或智能财税相关专业本科以上学历。</w:t>
      </w:r>
    </w:p>
    <w:p w14:paraId="3EF0B9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cs="仿宋_GB2312"/>
          <w:kern w:val="2"/>
          <w:sz w:val="28"/>
          <w:szCs w:val="28"/>
          <w:lang w:val="en-US" w:eastAsia="zh-CN" w:bidi="ar-SA"/>
        </w:rPr>
        <w:t>2.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每 5 年累计不少于 6 个月企业智能财务项目实践经验（需提供企业证明）。</w:t>
      </w:r>
    </w:p>
    <w:p w14:paraId="5D7DF2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cs="仿宋_GB2312"/>
          <w:kern w:val="2"/>
          <w:sz w:val="28"/>
          <w:szCs w:val="28"/>
          <w:lang w:val="en-US" w:eastAsia="zh-CN" w:bidi="ar-SA"/>
        </w:rPr>
        <w:t>3.,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需持有财务机器人开发工程师（工信部认证）等相关职业资格。</w:t>
      </w:r>
    </w:p>
    <w:p w14:paraId="60A282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cs="仿宋_GB2312"/>
          <w:kern w:val="2"/>
          <w:sz w:val="28"/>
          <w:szCs w:val="28"/>
          <w:lang w:val="en-US" w:eastAsia="zh-CN" w:bidi="ar-SA"/>
        </w:rPr>
        <w:t>4.</w:t>
      </w: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每年参与至少 1 项行业 RPA 流程优化案例研究。</w:t>
      </w:r>
    </w:p>
    <w:p w14:paraId="4CBADBFB">
      <w:pPr>
        <w:pStyle w:val="2"/>
        <w:ind w:firstLine="653"/>
      </w:pPr>
      <w:r>
        <w:rPr>
          <w:rFonts w:hint="eastAsia"/>
        </w:rPr>
        <w:t>十、其它说明</w:t>
      </w:r>
      <w:bookmarkEnd w:id="45"/>
      <w:bookmarkEnd w:id="46"/>
      <w:bookmarkEnd w:id="47"/>
    </w:p>
    <w:bookmarkEnd w:id="3"/>
    <w:bookmarkEnd w:id="4"/>
    <w:bookmarkEnd w:id="5"/>
    <w:bookmarkEnd w:id="44"/>
    <w:p w14:paraId="459D93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本课程学分认定与 “财务数字化应用” 职业技能等级证书挂钩，通过证书中级考核可申请课程学分置换。</w:t>
      </w:r>
      <w:bookmarkStart w:id="48" w:name="_GoBack"/>
      <w:bookmarkEnd w:id="48"/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470BCA">
    <w:pPr>
      <w:pStyle w:val="8"/>
      <w:ind w:firstLine="360"/>
      <w:jc w:val="center"/>
    </w:pPr>
    <w:r>
      <w:rPr>
        <w:lang w:val="zh-CN"/>
      </w:rPr>
      <w:t xml:space="preserve"> </w:t>
    </w:r>
  </w:p>
  <w:p w14:paraId="449C1408">
    <w:pPr>
      <w:pStyle w:val="8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453460">
    <w:pPr>
      <w:pStyle w:val="8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1F800D">
    <w:pPr>
      <w:pStyle w:val="8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3A16AC">
    <w:pPr>
      <w:pStyle w:val="8"/>
      <w:ind w:firstLine="360"/>
      <w:jc w:val="center"/>
    </w:pPr>
    <w:r>
      <w:rPr>
        <w:lang w:val="zh-CN"/>
      </w:rPr>
      <w:t xml:space="preserve"> </w:t>
    </w:r>
  </w:p>
  <w:p w14:paraId="7384CB6D">
    <w:pPr>
      <w:pStyle w:val="8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DF9A68">
    <w:pPr>
      <w:pStyle w:val="8"/>
      <w:ind w:firstLine="360"/>
      <w:jc w:val="center"/>
    </w:pPr>
    <w:r>
      <w:rPr>
        <w:lang w:val="zh-CN"/>
      </w:rPr>
      <w:t xml:space="preserve"> </w:t>
    </w:r>
  </w:p>
  <w:p w14:paraId="34334021">
    <w:pPr>
      <w:pStyle w:val="8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849AC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45177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D71B80"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F56A6B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2M2NmNGMxMDg2YzBkOTQ1ZjVhOTEzZWJjNTQxNTIifQ==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2BF15A4"/>
    <w:rsid w:val="04F36FCB"/>
    <w:rsid w:val="06264DD4"/>
    <w:rsid w:val="071F59E5"/>
    <w:rsid w:val="09684744"/>
    <w:rsid w:val="0A766BCC"/>
    <w:rsid w:val="0AE222D4"/>
    <w:rsid w:val="0B4B3EED"/>
    <w:rsid w:val="0B664CB3"/>
    <w:rsid w:val="0BF57DE5"/>
    <w:rsid w:val="10C03723"/>
    <w:rsid w:val="13C6123F"/>
    <w:rsid w:val="13C85418"/>
    <w:rsid w:val="148F1582"/>
    <w:rsid w:val="152B70E8"/>
    <w:rsid w:val="15D56A42"/>
    <w:rsid w:val="169325B8"/>
    <w:rsid w:val="172F601F"/>
    <w:rsid w:val="1761002E"/>
    <w:rsid w:val="17735D8C"/>
    <w:rsid w:val="18167A61"/>
    <w:rsid w:val="18324F43"/>
    <w:rsid w:val="18493218"/>
    <w:rsid w:val="18BA29FE"/>
    <w:rsid w:val="1A377993"/>
    <w:rsid w:val="1C136791"/>
    <w:rsid w:val="1E0C36DB"/>
    <w:rsid w:val="1ECE074D"/>
    <w:rsid w:val="2392755E"/>
    <w:rsid w:val="25D7082F"/>
    <w:rsid w:val="273677B9"/>
    <w:rsid w:val="288363FA"/>
    <w:rsid w:val="29790743"/>
    <w:rsid w:val="2D276405"/>
    <w:rsid w:val="2D2F4371"/>
    <w:rsid w:val="2E7B7787"/>
    <w:rsid w:val="2F68074A"/>
    <w:rsid w:val="2F6A77B8"/>
    <w:rsid w:val="30611F0A"/>
    <w:rsid w:val="30DF78CE"/>
    <w:rsid w:val="317D4E81"/>
    <w:rsid w:val="33670DA7"/>
    <w:rsid w:val="33BD324E"/>
    <w:rsid w:val="34710AAF"/>
    <w:rsid w:val="34E70363"/>
    <w:rsid w:val="35281849"/>
    <w:rsid w:val="35A1739A"/>
    <w:rsid w:val="3A9340B4"/>
    <w:rsid w:val="3C193C5F"/>
    <w:rsid w:val="3DD96F86"/>
    <w:rsid w:val="3EBC5DDD"/>
    <w:rsid w:val="3FF42CA8"/>
    <w:rsid w:val="41202C33"/>
    <w:rsid w:val="44366C11"/>
    <w:rsid w:val="44883AC1"/>
    <w:rsid w:val="44890655"/>
    <w:rsid w:val="45372ED7"/>
    <w:rsid w:val="47606DF8"/>
    <w:rsid w:val="47DB4379"/>
    <w:rsid w:val="489268FC"/>
    <w:rsid w:val="493A4AAE"/>
    <w:rsid w:val="49564CEF"/>
    <w:rsid w:val="49891591"/>
    <w:rsid w:val="4CCD5FB7"/>
    <w:rsid w:val="4D3017F6"/>
    <w:rsid w:val="4E053309"/>
    <w:rsid w:val="515B7CB7"/>
    <w:rsid w:val="516C3296"/>
    <w:rsid w:val="518B234A"/>
    <w:rsid w:val="53596C0B"/>
    <w:rsid w:val="53BD6A07"/>
    <w:rsid w:val="54A518C5"/>
    <w:rsid w:val="562A3B61"/>
    <w:rsid w:val="56456C48"/>
    <w:rsid w:val="575925A3"/>
    <w:rsid w:val="575F1A59"/>
    <w:rsid w:val="58D72319"/>
    <w:rsid w:val="59B04FCC"/>
    <w:rsid w:val="5A502305"/>
    <w:rsid w:val="5A63129F"/>
    <w:rsid w:val="5ADE57B1"/>
    <w:rsid w:val="5BCF6EC1"/>
    <w:rsid w:val="5E8A4E8C"/>
    <w:rsid w:val="679457F9"/>
    <w:rsid w:val="6831468D"/>
    <w:rsid w:val="683412BE"/>
    <w:rsid w:val="685B2491"/>
    <w:rsid w:val="694C5B6A"/>
    <w:rsid w:val="6C932E12"/>
    <w:rsid w:val="6D695A44"/>
    <w:rsid w:val="6E8A7606"/>
    <w:rsid w:val="70D22201"/>
    <w:rsid w:val="71844371"/>
    <w:rsid w:val="74786307"/>
    <w:rsid w:val="74FD54CF"/>
    <w:rsid w:val="76AA6A38"/>
    <w:rsid w:val="785F068D"/>
    <w:rsid w:val="79363CA6"/>
    <w:rsid w:val="7AA3575A"/>
    <w:rsid w:val="7BB35BD5"/>
    <w:rsid w:val="7C482314"/>
    <w:rsid w:val="7D7E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19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4">
    <w:name w:val="heading 3"/>
    <w:basedOn w:val="1"/>
    <w:next w:val="1"/>
    <w:link w:val="20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5">
    <w:name w:val="heading 4"/>
    <w:basedOn w:val="1"/>
    <w:next w:val="1"/>
    <w:link w:val="2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oc 3"/>
    <w:basedOn w:val="1"/>
    <w:next w:val="1"/>
    <w:qFormat/>
    <w:uiPriority w:val="39"/>
    <w:pPr>
      <w:ind w:left="840" w:leftChars="400"/>
    </w:pPr>
  </w:style>
  <w:style w:type="paragraph" w:styleId="7">
    <w:name w:val="Balloon Text"/>
    <w:basedOn w:val="1"/>
    <w:link w:val="17"/>
    <w:qFormat/>
    <w:uiPriority w:val="0"/>
    <w:rPr>
      <w:sz w:val="18"/>
      <w:szCs w:val="18"/>
    </w:rPr>
  </w:style>
  <w:style w:type="paragraph" w:styleId="8">
    <w:name w:val="footer"/>
    <w:basedOn w:val="1"/>
    <w:link w:val="2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Hyperlink"/>
    <w:unhideWhenUsed/>
    <w:qFormat/>
    <w:uiPriority w:val="99"/>
    <w:rPr>
      <w:color w:val="0000FF"/>
      <w:u w:val="single"/>
    </w:rPr>
  </w:style>
  <w:style w:type="character" w:customStyle="1" w:styleId="17">
    <w:name w:val="批注框文本 字符"/>
    <w:basedOn w:val="15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8">
    <w:name w:val="标题 1 字符"/>
    <w:basedOn w:val="15"/>
    <w:link w:val="2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19">
    <w:name w:val="标题 2 字符"/>
    <w:basedOn w:val="15"/>
    <w:link w:val="3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0">
    <w:name w:val="标题 3 字符"/>
    <w:basedOn w:val="15"/>
    <w:link w:val="4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1">
    <w:name w:val="标题 4 字符"/>
    <w:basedOn w:val="15"/>
    <w:link w:val="5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2">
    <w:name w:val="TOC 标题1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3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4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5">
    <w:name w:val="style41"/>
    <w:basedOn w:val="15"/>
    <w:qFormat/>
    <w:uiPriority w:val="0"/>
    <w:rPr>
      <w:sz w:val="18"/>
    </w:rPr>
  </w:style>
  <w:style w:type="paragraph" w:customStyle="1" w:styleId="26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7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8">
    <w:name w:val="页脚 字符"/>
    <w:basedOn w:val="15"/>
    <w:link w:val="8"/>
    <w:qFormat/>
    <w:uiPriority w:val="99"/>
    <w:rPr>
      <w:rFonts w:eastAsia="仿宋_GB2312"/>
      <w:kern w:val="2"/>
      <w:sz w:val="18"/>
      <w:szCs w:val="18"/>
    </w:rPr>
  </w:style>
  <w:style w:type="character" w:customStyle="1" w:styleId="29">
    <w:name w:val="页眉 字符"/>
    <w:basedOn w:val="15"/>
    <w:link w:val="9"/>
    <w:qFormat/>
    <w:uiPriority w:val="99"/>
    <w:rPr>
      <w:rFonts w:eastAsia="仿宋_GB2312"/>
      <w:kern w:val="2"/>
      <w:sz w:val="18"/>
      <w:szCs w:val="18"/>
    </w:rPr>
  </w:style>
  <w:style w:type="paragraph" w:styleId="30">
    <w:name w:val="List Paragraph"/>
    <w:basedOn w:val="1"/>
    <w:qFormat/>
    <w:uiPriority w:val="99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13</Pages>
  <Words>217</Words>
  <Characters>227</Characters>
  <Lines>15</Lines>
  <Paragraphs>5</Paragraphs>
  <TotalTime>69</TotalTime>
  <ScaleCrop>false</ScaleCrop>
  <LinksUpToDate>false</LinksUpToDate>
  <CharactersWithSpaces>254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高灿烈</cp:lastModifiedBy>
  <cp:lastPrinted>2024-07-02T05:20:00Z</cp:lastPrinted>
  <dcterms:modified xsi:type="dcterms:W3CDTF">2025-08-19T15:22:59Z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74D85C4984144724AD9DA142B9184FE5_13</vt:lpwstr>
  </property>
  <property fmtid="{D5CDD505-2E9C-101B-9397-08002B2CF9AE}" pid="4" name="KSOTemplateDocerSaveRecord">
    <vt:lpwstr>eyJoZGlkIjoiM2FiZDIzMjBhYjY3YjcwYmIxYWI1NjM4YzVmYjEyMDMiLCJ1c2VySWQiOiIyOTUwNDQ0MDMifQ==</vt:lpwstr>
  </property>
</Properties>
</file>