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11AF9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49746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AFC49F3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BADA9F2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144"/>
          <w:szCs w:val="144"/>
          <w:lang w:val="en-US" w:eastAsia="zh-CN"/>
        </w:rPr>
        <w:t>经济法基础</w:t>
      </w:r>
    </w:p>
    <w:p w14:paraId="305D8B5F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0FB888E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356944D6">
      <w:pPr>
        <w:ind w:firstLine="560"/>
      </w:pPr>
    </w:p>
    <w:p w14:paraId="228298B1">
      <w:pPr>
        <w:ind w:firstLine="0" w:firstLineChars="0"/>
      </w:pPr>
    </w:p>
    <w:tbl>
      <w:tblPr>
        <w:tblStyle w:val="14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BC4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72874B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611CBE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3C8EED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8024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501128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319F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70C7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D4143B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D03C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B53163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469C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DCA9D5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03906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E8F6528">
      <w:pPr>
        <w:ind w:firstLine="0" w:firstLineChars="0"/>
      </w:pPr>
    </w:p>
    <w:p w14:paraId="7E28658D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ECCD1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</w:rPr>
        <w:t>4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</w:rPr>
        <w:t>X</w:t>
      </w:r>
      <w:r>
        <w:rPr>
          <w:b/>
          <w:bCs/>
          <w:kern w:val="36"/>
          <w:sz w:val="36"/>
          <w:szCs w:val="36"/>
        </w:rPr>
        <w:t>月</w:t>
      </w:r>
    </w:p>
    <w:p w14:paraId="427AD3B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D19619B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51C26BBF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2AAC6291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24E28E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7B83B95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76980B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57BC4F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28404BCA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5A85B3A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6C0878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031D110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0D22129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6F30837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330AE83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DA3A1F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98A7546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FC1DCC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B3F18F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EAE1D7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8AE291D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C6C1C2C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4A818745"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8847"/>
      <w:bookmarkStart w:id="4" w:name="_Toc16819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62F4040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2DEFF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BD7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DBB1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经济法基础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8D2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5A82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CWKJ012502</w:t>
            </w:r>
          </w:p>
        </w:tc>
      </w:tr>
      <w:tr w14:paraId="6745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7EAD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9DCF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F419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4A89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619DE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A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7141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A0D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36E937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 w14:paraId="12B53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72E73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DD954C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是             □否</w:t>
            </w:r>
          </w:p>
        </w:tc>
      </w:tr>
      <w:tr w14:paraId="4DCAA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53AB3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F9998B">
            <w:pPr>
              <w:autoSpaceDE/>
              <w:autoSpaceDN/>
              <w:spacing w:line="360" w:lineRule="exact"/>
              <w:jc w:val="center"/>
              <w:rPr>
                <w:sz w:val="24"/>
                <w:szCs w:val="21"/>
              </w:rPr>
            </w:pPr>
            <w:r>
              <w:rPr>
                <w:rFonts w:hint="eastAsia" w:ascii="仿宋" w:hAnsi="仿宋" w:eastAsia="仿宋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大数据与会计</w:t>
            </w:r>
          </w:p>
        </w:tc>
      </w:tr>
      <w:tr w14:paraId="1D8A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58A2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D272C8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</w:tbl>
    <w:p w14:paraId="596DFAC2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6B39CD4D">
      <w:pPr>
        <w:pageBreakBefore w:val="0"/>
        <w:wordWrap/>
        <w:topLinePunct w:val="0"/>
        <w:bidi w:val="0"/>
        <w:spacing w:line="240" w:lineRule="auto"/>
        <w:jc w:val="both"/>
        <w:rPr>
          <w:color w:val="FF0000"/>
        </w:rPr>
      </w:pPr>
      <w:r>
        <w:rPr>
          <w:rFonts w:hint="eastAsia"/>
        </w:rPr>
        <w:t>《</w:t>
      </w:r>
      <w:r>
        <w:rPr>
          <w:rFonts w:hint="eastAsia"/>
          <w:lang w:val="en-US" w:eastAsia="zh-CN"/>
        </w:rPr>
        <w:t>经济法基础</w:t>
      </w:r>
      <w:r>
        <w:rPr>
          <w:rFonts w:hint="eastAsia"/>
        </w:rPr>
        <w:t>》是</w:t>
      </w:r>
      <w:r>
        <w:rPr>
          <w:rFonts w:hint="eastAsia"/>
          <w:lang w:val="en-US" w:eastAsia="zh-CN"/>
        </w:rPr>
        <w:t>财经商贸</w:t>
      </w:r>
      <w:r>
        <w:rPr>
          <w:rFonts w:hint="eastAsia"/>
        </w:rPr>
        <w:t>专业的一门</w:t>
      </w:r>
      <w:r>
        <w:rPr>
          <w:rFonts w:hint="eastAsia"/>
          <w:lang w:val="en-US" w:eastAsia="zh-CN"/>
        </w:rPr>
        <w:t>必修</w:t>
      </w:r>
      <w:r>
        <w:rPr>
          <w:rFonts w:hint="eastAsia"/>
        </w:rPr>
        <w:t>课，本课程全面贯彻党的教育方针，落实立德树人根本任务，培养学生勇于创新的精神和</w:t>
      </w:r>
      <w:r>
        <w:rPr>
          <w:rFonts w:hint="eastAsia" w:ascii="Times New Roman" w:hAnsi="Times New Roman" w:cs="Times New Roman"/>
        </w:rPr>
        <w:t>法律检索、文献查阅及论文写作</w:t>
      </w:r>
      <w:r>
        <w:rPr>
          <w:rFonts w:hint="eastAsia"/>
        </w:rPr>
        <w:t>能力，提升学生</w:t>
      </w:r>
      <w:r>
        <w:rPr>
          <w:rFonts w:hint="eastAsia" w:ascii="Times New Roman" w:hAnsi="Times New Roman" w:cs="Times New Roman"/>
        </w:rPr>
        <w:t>法律意识和职业道德，增强其社会责任感</w:t>
      </w:r>
      <w:r>
        <w:rPr>
          <w:rFonts w:hint="eastAsia"/>
        </w:rPr>
        <w:t>，达到使学生具备较强的</w:t>
      </w:r>
      <w:r>
        <w:rPr>
          <w:rFonts w:hint="eastAsia" w:ascii="Times New Roman" w:hAnsi="Times New Roman" w:cs="Times New Roman"/>
        </w:rPr>
        <w:t>独立思考、批判性思维及创新</w:t>
      </w:r>
      <w:r>
        <w:rPr>
          <w:rFonts w:hint="eastAsia"/>
        </w:rPr>
        <w:t>思维的任务。</w:t>
      </w:r>
    </w:p>
    <w:p w14:paraId="2385E13C">
      <w:pPr>
        <w:ind w:firstLine="560"/>
        <w:rPr>
          <w:color w:val="FF0000"/>
        </w:rPr>
      </w:pPr>
      <w:r>
        <w:rPr>
          <w:rFonts w:hint="eastAsia"/>
        </w:rPr>
        <w:t>通过本课程教学，使学生具备</w:t>
      </w:r>
      <w:r>
        <w:rPr>
          <w:rFonts w:hint="eastAsia" w:ascii="Times New Roman" w:hAnsi="Times New Roman" w:cs="Times New Roman"/>
        </w:rPr>
        <w:t>基本法规理论知识</w:t>
      </w:r>
      <w:r>
        <w:rPr>
          <w:rFonts w:hint="eastAsia" w:ascii="Times New Roman" w:hAnsi="Times New Roman" w:cs="Times New Roman"/>
          <w:lang w:eastAsia="zh-CN"/>
        </w:rPr>
        <w:t>，</w:t>
      </w:r>
      <w:r>
        <w:rPr>
          <w:rFonts w:hint="eastAsia" w:ascii="Times New Roman" w:hAnsi="Times New Roman" w:cs="Times New Roman"/>
        </w:rPr>
        <w:t>培养学生勇于创新的精神和法律检索、文献查阅及论文写作能力，提升学生法律意识和职业道德</w:t>
      </w:r>
      <w:r>
        <w:rPr>
          <w:rFonts w:hint="eastAsia" w:ascii="Times New Roman" w:hAnsi="Times New Roman" w:cs="Times New Roman"/>
          <w:lang w:eastAsia="zh-CN"/>
        </w:rPr>
        <w:t>，</w:t>
      </w:r>
      <w:r>
        <w:rPr>
          <w:rFonts w:hint="eastAsia"/>
        </w:rPr>
        <w:t>提高学生在</w:t>
      </w:r>
      <w:r>
        <w:rPr>
          <w:rFonts w:hint="eastAsia"/>
          <w:lang w:val="en-US" w:eastAsia="zh-CN"/>
        </w:rPr>
        <w:t>学习过程</w:t>
      </w:r>
      <w:r>
        <w:rPr>
          <w:rFonts w:hint="eastAsia"/>
        </w:rPr>
        <w:t>的</w:t>
      </w:r>
      <w:r>
        <w:rPr>
          <w:rFonts w:hint="eastAsia" w:ascii="Times New Roman" w:hAnsi="Times New Roman" w:cs="Times New Roman"/>
        </w:rPr>
        <w:t>独立思考、批判性思维及创新</w:t>
      </w:r>
      <w:r>
        <w:rPr>
          <w:rFonts w:hint="eastAsia"/>
        </w:rPr>
        <w:t>思维</w:t>
      </w:r>
      <w:r>
        <w:rPr>
          <w:rFonts w:hint="eastAsia"/>
          <w:lang w:eastAsia="zh-CN"/>
        </w:rPr>
        <w:t>，</w:t>
      </w:r>
      <w:r>
        <w:rPr>
          <w:rFonts w:hint="eastAsia"/>
        </w:rPr>
        <w:t>分析问题和解决问题的能力，以便使学生实现从学校到社会的平稳过渡。</w:t>
      </w:r>
    </w:p>
    <w:p w14:paraId="621E819A"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475EE3BC">
      <w:pPr>
        <w:ind w:firstLine="560"/>
      </w:pPr>
      <w:r>
        <w:rPr>
          <w:rFonts w:hint="eastAsia"/>
        </w:rPr>
        <w:t>完成本课程学习后，学生应当具有以下素质、知识和能力：</w:t>
      </w:r>
    </w:p>
    <w:bookmarkEnd w:id="10"/>
    <w:p w14:paraId="1E5387A1">
      <w:pPr>
        <w:pStyle w:val="3"/>
        <w:numPr>
          <w:ilvl w:val="0"/>
          <w:numId w:val="2"/>
        </w:numPr>
        <w:ind w:firstLine="560"/>
      </w:pPr>
      <w:bookmarkStart w:id="11" w:name="_Toc7412"/>
      <w:bookmarkStart w:id="12" w:name="_Toc90472987"/>
      <w:bookmarkStart w:id="13" w:name="_Toc1453"/>
      <w:r>
        <w:rPr>
          <w:rFonts w:hint="eastAsia"/>
        </w:rPr>
        <w:t>素质目标</w:t>
      </w:r>
      <w:bookmarkEnd w:id="11"/>
      <w:bookmarkEnd w:id="12"/>
      <w:bookmarkEnd w:id="13"/>
      <w:bookmarkStart w:id="14" w:name="_Toc502337264"/>
    </w:p>
    <w:p w14:paraId="78BD196F">
      <w:pPr>
        <w:ind w:firstLine="560"/>
        <w:rPr>
          <w:rFonts w:hint="eastAsia" w:ascii="Times New Roman" w:hAnsi="Times New Roman" w:eastAsia="仿宋_GB2312" w:cs="Times New Roman"/>
          <w:color w:val="auto"/>
          <w:lang w:eastAsia="zh-CN"/>
        </w:rPr>
      </w:pPr>
      <w:bookmarkStart w:id="15" w:name="_Toc1104"/>
      <w:bookmarkStart w:id="16" w:name="_Toc24734"/>
      <w:bookmarkStart w:id="17" w:name="_Toc90472988"/>
      <w:r>
        <w:rPr>
          <w:rFonts w:hint="eastAsia" w:ascii="Times New Roman" w:hAnsi="Times New Roman" w:cs="Times New Roman"/>
          <w:color w:val="auto"/>
          <w:lang w:val="en-US" w:eastAsia="zh-CN"/>
        </w:rPr>
        <w:t>1.</w:t>
      </w:r>
      <w:r>
        <w:rPr>
          <w:rFonts w:hint="eastAsia" w:ascii="Times New Roman" w:hAnsi="Times New Roman" w:cs="Times New Roman"/>
          <w:color w:val="auto"/>
        </w:rPr>
        <w:t>批判性思维：通过案例分析、法律辩论等形式，训练学生独立思考、分析问题、评估法律后果的能力，培养批判性思维和解决问题的能力</w:t>
      </w:r>
      <w:r>
        <w:rPr>
          <w:rFonts w:hint="eastAsia" w:cs="Times New Roman"/>
          <w:color w:val="auto"/>
          <w:lang w:eastAsia="zh-CN"/>
        </w:rPr>
        <w:t>，</w:t>
      </w:r>
      <w:r>
        <w:rPr>
          <w:rFonts w:hint="eastAsia" w:cs="Times New Roman"/>
          <w:color w:val="auto"/>
          <w:lang w:val="en-US" w:eastAsia="zh-CN"/>
        </w:rPr>
        <w:t>结合数字技术场景（如智能合约、算法决策）分析法律风险，强化对新兴技术伦理的批判性思考。</w:t>
      </w:r>
    </w:p>
    <w:p w14:paraId="77AA041B">
      <w:pPr>
        <w:ind w:firstLine="560"/>
        <w:rPr>
          <w:rFonts w:hint="eastAsia" w:ascii="方正仿宋_GB2312" w:hAnsi="方正仿宋_GB2312" w:eastAsia="方正仿宋_GB2312" w:cs="方正仿宋_GB2312"/>
          <w:color w:val="auto"/>
          <w:sz w:val="21"/>
          <w:szCs w:val="21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2.</w:t>
      </w:r>
      <w:r>
        <w:rPr>
          <w:rFonts w:hint="eastAsia" w:ascii="Times New Roman" w:hAnsi="Times New Roman" w:cs="Times New Roman"/>
          <w:color w:val="auto"/>
        </w:rPr>
        <w:t>社会责任感：增强学生的社会责任感和使命感，使其能够运用经济法知识服务社会，维护市场秩序，促进经济健康发展。</w:t>
      </w:r>
    </w:p>
    <w:p w14:paraId="031AAB23">
      <w:pPr>
        <w:pStyle w:val="3"/>
        <w:numPr>
          <w:ilvl w:val="0"/>
          <w:numId w:val="2"/>
        </w:numPr>
        <w:ind w:firstLine="560"/>
      </w:pPr>
      <w:r>
        <w:rPr>
          <w:rFonts w:hint="eastAsia"/>
        </w:rPr>
        <w:t>知识目标</w:t>
      </w:r>
      <w:bookmarkEnd w:id="14"/>
      <w:bookmarkEnd w:id="15"/>
      <w:bookmarkEnd w:id="16"/>
      <w:bookmarkEnd w:id="17"/>
      <w:bookmarkStart w:id="18" w:name="_Toc502337265"/>
    </w:p>
    <w:p w14:paraId="7F1A3759">
      <w:pPr>
        <w:ind w:firstLine="560"/>
        <w:rPr>
          <w:rFonts w:hint="eastAsia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1.</w:t>
      </w:r>
      <w:r>
        <w:rPr>
          <w:rFonts w:hint="eastAsia" w:ascii="Times New Roman" w:hAnsi="Times New Roman" w:cs="Times New Roman"/>
          <w:color w:val="auto"/>
        </w:rPr>
        <w:t>经济法基础理论：掌握经济法的基本概念、发展历程、法律体系及其与经济的关系，理解经济法的基本原则和价值取向</w:t>
      </w:r>
      <w:r>
        <w:rPr>
          <w:rFonts w:hint="eastAsia" w:cs="Times New Roman"/>
          <w:color w:val="auto"/>
          <w:lang w:eastAsia="zh-CN"/>
        </w:rPr>
        <w:t>，了解数字经济时代经济法的演进趋势（如平台经济反垄断、数据权属规则）。​​</w:t>
      </w:r>
      <w:r>
        <w:rPr>
          <w:rFonts w:hint="eastAsia" w:ascii="Times New Roman" w:hAnsi="Times New Roman" w:cs="Times New Roman"/>
          <w:color w:val="auto"/>
          <w:lang w:val="en-US" w:eastAsia="zh-CN"/>
        </w:rPr>
        <w:t>2.</w:t>
      </w:r>
      <w:r>
        <w:rPr>
          <w:rFonts w:hint="eastAsia" w:ascii="Times New Roman" w:hAnsi="Times New Roman" w:cs="Times New Roman"/>
          <w:color w:val="auto"/>
        </w:rPr>
        <w:t>核心法律制度：深入了解公司法、合同法、竞争法、税法、知识产权法等核心经济法律制度的内容、适用范围及实施机制</w:t>
      </w:r>
      <w:r>
        <w:rPr>
          <w:rFonts w:hint="eastAsia" w:cs="Times New Roman"/>
          <w:color w:val="auto"/>
          <w:lang w:eastAsia="zh-CN"/>
        </w:rPr>
        <w:t>，覆盖数字货币监管、AI算法合规、生成式AI知识产权等新兴领域规范；熟悉司法大数据平台（如“法信”）的应用逻辑。</w:t>
      </w:r>
    </w:p>
    <w:p w14:paraId="26CB55CE">
      <w:pPr>
        <w:ind w:firstLine="560"/>
        <w:rPr>
          <w:rFonts w:hint="eastAsia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3.</w:t>
      </w:r>
      <w:r>
        <w:rPr>
          <w:rFonts w:hint="eastAsia" w:ascii="Times New Roman" w:hAnsi="Times New Roman" w:cs="Times New Roman"/>
          <w:color w:val="auto"/>
        </w:rPr>
        <w:t>法律法规更新：紧跟国家法律法规的最新动态，了解最新立法、司法解释及政策导向，保持知识的时效性和准确性</w:t>
      </w:r>
      <w:r>
        <w:rPr>
          <w:rFonts w:hint="eastAsia" w:cs="Times New Roman"/>
          <w:color w:val="auto"/>
          <w:lang w:eastAsia="zh-CN"/>
        </w:rPr>
        <w:t>，重点跟踪《数字经济促进法》草案、数据安全法配套细则等动态，定期更新课程知识库。</w:t>
      </w:r>
    </w:p>
    <w:p w14:paraId="3824FC18">
      <w:pPr>
        <w:pStyle w:val="3"/>
        <w:numPr>
          <w:ilvl w:val="0"/>
          <w:numId w:val="2"/>
        </w:numPr>
        <w:ind w:firstLine="560"/>
      </w:pPr>
      <w:bookmarkStart w:id="19" w:name="_Toc12623"/>
      <w:bookmarkStart w:id="20" w:name="_Toc30755"/>
      <w:bookmarkStart w:id="21" w:name="_Toc90472989"/>
      <w:r>
        <w:rPr>
          <w:rFonts w:hint="eastAsia"/>
        </w:rPr>
        <w:t>能力目标</w:t>
      </w:r>
      <w:bookmarkEnd w:id="18"/>
      <w:bookmarkEnd w:id="19"/>
      <w:bookmarkEnd w:id="20"/>
      <w:bookmarkEnd w:id="21"/>
    </w:p>
    <w:p w14:paraId="14B62B03">
      <w:pPr>
        <w:ind w:firstLine="560"/>
        <w:rPr>
          <w:rFonts w:hint="eastAsia" w:ascii="Times New Roman" w:hAnsi="Times New Roman" w:cs="Times New Roman"/>
          <w:color w:val="auto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1.</w:t>
      </w:r>
      <w:r>
        <w:rPr>
          <w:rFonts w:hint="eastAsia" w:ascii="Times New Roman" w:hAnsi="Times New Roman" w:cs="Times New Roman"/>
          <w:color w:val="auto"/>
        </w:rPr>
        <w:t>法律应用能力：能够运用所学的经济法知识分析和解决企业运营、市场交易中的法律问题，如合同起草、纠纷解决等</w:t>
      </w:r>
      <w:r>
        <w:rPr>
          <w:rFonts w:hint="eastAsia" w:cs="Times New Roman"/>
          <w:color w:val="auto"/>
          <w:lang w:eastAsia="zh-CN"/>
        </w:rPr>
        <w:t>，具备数字合规风险评估能力（如企业数据合规、区块链存证效力认定）；能分析智能合约条款的合法性及执行风险</w:t>
      </w:r>
      <w:r>
        <w:rPr>
          <w:rFonts w:hint="eastAsia" w:ascii="Times New Roman" w:hAnsi="Times New Roman" w:cs="Times New Roman"/>
          <w:color w:val="auto"/>
        </w:rPr>
        <w:t>。</w:t>
      </w:r>
    </w:p>
    <w:p w14:paraId="57F2E7F6">
      <w:pPr>
        <w:ind w:firstLine="560"/>
        <w:rPr>
          <w:rFonts w:cs="宋体"/>
          <w:color w:val="FF0000"/>
        </w:rPr>
      </w:pPr>
      <w:r>
        <w:rPr>
          <w:rFonts w:hint="eastAsia" w:ascii="Times New Roman" w:hAnsi="Times New Roman" w:cs="Times New Roman"/>
          <w:color w:val="auto"/>
          <w:lang w:val="en-US" w:eastAsia="zh-CN"/>
        </w:rPr>
        <w:t>2.</w:t>
      </w:r>
      <w:r>
        <w:rPr>
          <w:rFonts w:hint="eastAsia" w:ascii="Times New Roman" w:hAnsi="Times New Roman" w:cs="Times New Roman"/>
          <w:color w:val="auto"/>
        </w:rPr>
        <w:t>创新能力：鼓励学生在理解现有法律框架的基础上，探索法律服务的创新模式，提出解决新问题的法律策略</w:t>
      </w:r>
      <w:r>
        <w:rPr>
          <w:rFonts w:hint="eastAsia" w:cs="Times New Roman"/>
          <w:color w:val="auto"/>
          <w:lang w:eastAsia="zh-CN"/>
        </w:rPr>
        <w:t>，掌握法律数据库高效检索技巧（如裁判文书网、法信平台）；能设计合规节税方案或数据安全方案并评估其创新性（如结合AI工具应用效果）</w:t>
      </w:r>
      <w:r>
        <w:rPr>
          <w:rFonts w:hint="eastAsia" w:ascii="Times New Roman" w:hAnsi="Times New Roman" w:cs="Times New Roman"/>
          <w:color w:val="auto"/>
        </w:rPr>
        <w:t>。</w:t>
      </w:r>
    </w:p>
    <w:p w14:paraId="1CB9A4D5">
      <w:pPr>
        <w:pStyle w:val="2"/>
        <w:ind w:firstLine="653"/>
      </w:pPr>
      <w:bookmarkStart w:id="22" w:name="_Toc24423"/>
      <w:bookmarkStart w:id="23" w:name="_Toc11296"/>
      <w:r>
        <w:rPr>
          <w:rFonts w:hint="eastAsia"/>
        </w:rPr>
        <w:t>四、课程职业能力分析</w:t>
      </w:r>
      <w:bookmarkEnd w:id="22"/>
      <w:bookmarkEnd w:id="23"/>
    </w:p>
    <w:p w14:paraId="18F53867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5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1"/>
        <w:gridCol w:w="1607"/>
        <w:gridCol w:w="1259"/>
        <w:gridCol w:w="2268"/>
        <w:gridCol w:w="2347"/>
      </w:tblGrid>
      <w:tr w14:paraId="58DD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67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183AA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60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4C5BC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2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280E3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731CB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231E34D4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682C0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</w:trPr>
        <w:tc>
          <w:tcPr>
            <w:tcW w:w="1671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3C6EAAE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智能财税专员</w:t>
            </w:r>
          </w:p>
        </w:tc>
        <w:tc>
          <w:tcPr>
            <w:tcW w:w="16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5F532">
            <w:pPr>
              <w:pStyle w:val="33"/>
              <w:spacing w:line="240" w:lineRule="auto"/>
              <w:ind w:firstLine="0" w:firstLineChars="0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税务申报，发票管理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83C4CCA">
            <w:pPr>
              <w:pStyle w:val="33"/>
              <w:spacing w:line="240" w:lineRule="auto"/>
              <w:ind w:firstLine="0" w:firstLineChars="0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税务申报，发票管理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68441">
            <w:pPr>
              <w:pStyle w:val="29"/>
              <w:tabs>
                <w:tab w:val="left" w:pos="312"/>
                <w:tab w:val="left" w:pos="548"/>
              </w:tabs>
              <w:spacing w:before="2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计算税费、识别税务风险， </w:t>
            </w:r>
            <w:r>
              <w:rPr>
                <w:rFonts w:hint="eastAsia" w:ascii="仿宋_GB2312" w:hAnsi="Times New Roman" w:eastAsia="仿宋_GB2312"/>
                <w:sz w:val="24"/>
                <w:szCs w:val="24"/>
                <w:lang w:val="en-US" w:eastAsia="zh-CN"/>
              </w:rPr>
              <w:t>并完成纳税申报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利用大数据分析企业税负趋势，预警异常数据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7B9D9A0E">
            <w:pPr>
              <w:pStyle w:val="28"/>
              <w:spacing w:line="240" w:lineRule="auto"/>
              <w:ind w:firstLine="0" w:firstLineChars="0"/>
              <w:jc w:val="left"/>
              <w:rPr>
                <w:rFonts w:hint="default" w:ascii="仿宋_GB2312" w:hAnsi="Times New Roman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 w:val="24"/>
                <w:szCs w:val="24"/>
                <w:lang w:val="en-US" w:eastAsia="zh-CN"/>
              </w:rPr>
              <w:t>《税收征管法》规定增值税、企业所得税计算，</w:t>
            </w:r>
          </w:p>
        </w:tc>
      </w:tr>
      <w:tr w14:paraId="1EEF4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1671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699C2E9D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  <w:t>企业会计</w:t>
            </w:r>
          </w:p>
        </w:tc>
        <w:tc>
          <w:tcPr>
            <w:tcW w:w="16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52184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  <w:t>合同审核，财务处理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AD38EAE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  <w:t>合同审核，财务处理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27DA5">
            <w:pPr>
              <w:spacing w:line="240" w:lineRule="auto"/>
              <w:ind w:firstLine="0" w:firstLineChars="0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能根据《合同法》审核购销合同中的付款条款、违约责任，规避财务风险。 能利用财务软件（如金蝶、用友）自动校验发票信息与税务法规的合规性。</w:t>
            </w:r>
          </w:p>
          <w:p w14:paraId="200E28FD">
            <w:pPr>
              <w:spacing w:line="240" w:lineRule="auto"/>
              <w:ind w:firstLine="0" w:firstLineChars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737A170A">
            <w:pPr>
              <w:spacing w:line="24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《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民法典</w:t>
            </w:r>
            <w:r>
              <w:rPr>
                <w:rFonts w:hint="eastAsia" w:ascii="仿宋_GB2312" w:eastAsia="仿宋_GB2312"/>
                <w:sz w:val="24"/>
                <w:szCs w:val="24"/>
              </w:rPr>
              <w:t>》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第626条、第577条等关于付款义务，合同违约责任的法律条款</w:t>
            </w:r>
          </w:p>
          <w:p w14:paraId="08E7D3E6">
            <w:pPr>
              <w:spacing w:line="240" w:lineRule="auto"/>
              <w:ind w:firstLine="0" w:firstLineChars="0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303D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671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6E51B48">
            <w:pPr>
              <w:ind w:left="0" w:leftChars="0" w:firstLine="240" w:firstLineChars="100"/>
              <w:jc w:val="both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highlight w:val="none"/>
                <w:lang w:val="en-US" w:eastAsia="zh-CN"/>
              </w:rPr>
              <w:t>审计助理</w:t>
            </w:r>
          </w:p>
        </w:tc>
        <w:tc>
          <w:tcPr>
            <w:tcW w:w="16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546E93">
            <w:pPr>
              <w:ind w:firstLine="0" w:firstLineChars="0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000000"/>
                <w:sz w:val="24"/>
                <w:szCs w:val="24"/>
                <w:lang w:val="en-US" w:eastAsia="zh-CN"/>
              </w:rPr>
              <w:t>审计证据收集</w:t>
            </w:r>
          </w:p>
        </w:tc>
        <w:tc>
          <w:tcPr>
            <w:tcW w:w="12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2D9F0">
            <w:pPr>
              <w:spacing w:line="24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核实票据真实性和交易合法性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9F484">
            <w:pPr>
              <w:pStyle w:val="29"/>
              <w:tabs>
                <w:tab w:val="left" w:pos="546"/>
              </w:tabs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能通过Python或SQL检索法律数据库（如裁判文书网），分析行业涉税诉讼案例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； 区块链存证鉴定：运用技术工具验证电子票据/交易记录的法律效力；</w:t>
            </w:r>
          </w:p>
          <w:p w14:paraId="5DD9271C">
            <w:pPr>
              <w:pStyle w:val="29"/>
              <w:tabs>
                <w:tab w:val="left" w:pos="546"/>
              </w:tabs>
              <w:rPr>
                <w:rFonts w:hint="eastAsia" w:ascii="仿宋_GB2312" w:eastAsia="仿宋_GB2312"/>
                <w:spacing w:val="-7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平台经济反垄断分析：核查企业数据垄断行为（如用户数据滥用）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14342A0A">
            <w:pPr>
              <w:pStyle w:val="28"/>
              <w:spacing w:line="240" w:lineRule="auto"/>
              <w:ind w:firstLine="0" w:firstLineChars="0"/>
              <w:jc w:val="left"/>
              <w:rPr>
                <w:rFonts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能运用《票据法》鉴别电子票据真伪，处理票据纠纷。</w:t>
            </w:r>
          </w:p>
        </w:tc>
      </w:tr>
    </w:tbl>
    <w:p w14:paraId="0AD65DD3">
      <w:pPr>
        <w:pStyle w:val="2"/>
        <w:ind w:firstLine="560"/>
      </w:pPr>
      <w:bookmarkStart w:id="24" w:name="_Toc27541"/>
      <w:bookmarkStart w:id="25" w:name="_Toc30005"/>
      <w:bookmarkStart w:id="26" w:name="_Toc502337266"/>
      <w:r>
        <w:rPr>
          <w:rFonts w:hint="eastAsia"/>
        </w:rPr>
        <w:t>五、课程设计思路</w:t>
      </w:r>
      <w:bookmarkEnd w:id="24"/>
      <w:bookmarkEnd w:id="25"/>
    </w:p>
    <w:p w14:paraId="40B35828">
      <w:pPr>
        <w:ind w:firstLine="560"/>
        <w:rPr>
          <w:rFonts w:hint="eastAsia"/>
          <w:color w:val="FF0000"/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一、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教学路径</w:t>
      </w:r>
    </w:p>
    <w:p w14:paraId="480ACC56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1.课程目标：课程致力于开启学生内在潜力和学习动力，注重知识生成、技能训练、素质提升，对专业培养目标达成具有重要的支撑作用。</w:t>
      </w:r>
    </w:p>
    <w:p w14:paraId="2EEE8754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2.课程内容：课程内容紧跟生产技术前沿，聚焦核心知识与技能，将职业岗位知识、技能、素养有机融入课程，及时将产业行业的新技术、新知识、新工艺、新规范等引入教学。教学资源丰富多样、质量高，能有效支撑和促进师生之间、学生之间进行资源共享、问题交流和协作学习。</w:t>
      </w:r>
    </w:p>
    <w:p w14:paraId="0B23E690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3.教学方法：根据学生认知规律和学情特点，通过探究式、启发式、混合式等教学方法的应用，促进师生之间的交流互动、资源共享，凸显学生主体、教师主导的学习过程，构建智慧教育赋能下的师生学习共同体。</w:t>
      </w:r>
    </w:p>
    <w:p w14:paraId="6A3CA44A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二、教学评价</w:t>
      </w:r>
    </w:p>
    <w:p w14:paraId="6F52822C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1.评价主体多元化：改变单一的教师评价模式，引入学生自评、互评以及企业评价等多元评价主体。例如，在模拟商务谈判项目中，学生先进行自我评价，然后小组内成员互评，最后由教师和企业专家共同评价，从不同角度提供全面的反馈。</w:t>
      </w:r>
    </w:p>
    <w:p w14:paraId="77940363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2.评价内容全面化：不仅关注学生的知识掌握程度，更要重视技能应用、职业素养等方面的评价。比如，在考核学生的经济法知识时，除了传统的笔试，还设置案例分析、模拟法庭等环节，考查学生运用法律知识解决实际问题的能力以及语言表达、团队协作等职业素养。</w:t>
      </w:r>
    </w:p>
    <w:p w14:paraId="7DF17A29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3.评价过程动态化：注重对教学过程的全程评价，而不仅仅是结果评价。例如，在一个学期的课程中，设置多次阶段性考核，及时了解学生的学习进展和存在的问题，以便教师及时调整教学策略。</w:t>
      </w:r>
    </w:p>
    <w:p w14:paraId="43FA2E5A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三、课程思政</w:t>
      </w:r>
    </w:p>
    <w:p w14:paraId="65BDBBE9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1.挖掘思政元素：深入挖掘经济法课程中蕴含的思政教育元素，如法治精神、公平正义、诚信意识等。例如，在讲解合同法相关内容时，引导学生树立契约精神和诚信意识，强调合同双方应遵守合同约定，履行各自的义务，这不仅是法律要求，也是道德准则。</w:t>
      </w:r>
    </w:p>
    <w:p w14:paraId="48B6C6D2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2.融入教学过程：将思政教育融入到教学的各个环节，而不是生硬地说教。比如，在案例分析中，引导学生从法律和道德的双重角度去分析案例，培养学生的法律意识和道德观念；在课堂讨论中，鼓励学生发表自己的观点，引导学生树立正确的价值观和世界观。</w:t>
      </w:r>
    </w:p>
    <w:p w14:paraId="59ED257E">
      <w:pPr>
        <w:ind w:firstLine="560"/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3.强化实践教学：通过实践教学活动，让学生在实践中践行思政教育内容。例如，组织学生参加法律咨询志愿服务活动，让学生在为群众提供法律咨询服务的过程中，增强社会责任感和使命感，同时也更好地理解和运用所学的法律知识。</w:t>
      </w:r>
    </w:p>
    <w:bookmarkEnd w:id="26"/>
    <w:p w14:paraId="1CE23C34">
      <w:pPr>
        <w:pStyle w:val="2"/>
        <w:ind w:firstLine="0" w:firstLineChars="0"/>
      </w:pPr>
      <w:bookmarkStart w:id="27" w:name="_Toc8844"/>
      <w:bookmarkStart w:id="28" w:name="_Toc11466"/>
      <w:r>
        <w:rPr>
          <w:rFonts w:hint="eastAsia"/>
        </w:rPr>
        <w:t>六、课程结构与内容</w:t>
      </w:r>
      <w:bookmarkEnd w:id="27"/>
      <w:bookmarkEnd w:id="28"/>
      <w:bookmarkStart w:id="29" w:name="_Toc19213"/>
      <w:bookmarkStart w:id="30" w:name="_Toc7467"/>
    </w:p>
    <w:p w14:paraId="2E2C554F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9"/>
      <w:bookmarkEnd w:id="30"/>
    </w:p>
    <w:tbl>
      <w:tblPr>
        <w:tblStyle w:val="15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83"/>
        <w:gridCol w:w="1936"/>
        <w:gridCol w:w="1842"/>
        <w:gridCol w:w="1843"/>
        <w:gridCol w:w="567"/>
      </w:tblGrid>
      <w:tr w14:paraId="29E6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5D176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FCCBAB6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6C23DD1D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6E68B43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5794834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8D3DBF0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2A9795A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AA15281">
            <w:pPr>
              <w:ind w:firstLine="0" w:firstLineChars="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30179D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0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1B087846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1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2EFAE022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项目一</w:t>
            </w:r>
          </w:p>
          <w:p w14:paraId="6AAB850A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合同法与智能合同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97555DC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购销合同审核与风险防控 - 掌握合同成立、效力、履行条款（《民法典》第496-509条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961C236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识别付款、违约条款的财务风险 - 使用OCR工具提取合同关键数据 - 案例教学：分析“阴阳合同”逃税案例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top"/>
          </w:tcPr>
          <w:p w14:paraId="443109F7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用Python扫描合同文本，标记风险条款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5A43F4E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诚信教育：通过“合同欺诈”案例强调职业道德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C179763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4DD9B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8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788ADDAE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2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026751DA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项目二</w:t>
            </w:r>
          </w:p>
          <w:p w14:paraId="1820FB13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税法与智能财税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0BBD26A">
            <w:pPr>
              <w:tabs>
                <w:tab w:val="left" w:pos="365"/>
              </w:tabs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企业税费计算与合规分析 - 增值税、企业所得税计算规则（《税法》相关条款）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312D96C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利用税务大数据平台筛查异常申报数据 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</w:tcPr>
          <w:p w14:paraId="6C936706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模拟实训：金蝶系统自动校验发票合规性 - 小组讨论：某企业税务筹划方案合法性 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67D433A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社会责任：依法纳税对共同富裕的意义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52CE427E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655BD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0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1593A7A7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3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5C937627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项目三</w:t>
            </w:r>
          </w:p>
          <w:p w14:paraId="45A3DEE9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公司法与股权设计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02890C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企业设立与财务责任分析  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3515CCD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公司注册资本与股东责任（《公司法》第3、20条） - 股权转让的财务影响分析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1048196E">
            <w:pPr>
              <w:spacing w:line="240" w:lineRule="auto"/>
              <w:ind w:firstLine="240" w:firstLineChars="100"/>
              <w:jc w:val="left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角色扮演：模拟股东出资纠纷庭审 </w:t>
            </w:r>
          </w:p>
          <w:p w14:paraId="3A9F50E9">
            <w:pPr>
              <w:spacing w:line="240" w:lineRule="auto"/>
              <w:ind w:firstLine="0" w:firstLineChars="0"/>
              <w:jc w:val="left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数据分析：天眼查平台股权结构可视化 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643972F0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法治意识：企业家合法经营与社会贡献</w:t>
            </w: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0AFB4A3E">
            <w:pPr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8</w:t>
            </w:r>
          </w:p>
        </w:tc>
      </w:tr>
      <w:tr w14:paraId="1EE20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4B6C399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1E9F6FA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项目四</w:t>
            </w:r>
          </w:p>
          <w:p w14:paraId="15D951F3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数据安全与会计合规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7B4933C">
            <w:pPr>
              <w:tabs>
                <w:tab w:val="left" w:pos="351"/>
              </w:tabs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ab/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 xml:space="preserve">财务数据安全管理 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0FEF726">
            <w:pPr>
              <w:spacing w:line="240" w:lineRule="auto"/>
              <w:ind w:firstLine="0" w:firstLineChars="0"/>
              <w:jc w:val="both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数据安全法》《个人信息保护法》对会计数据的要求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。</w:t>
            </w:r>
          </w:p>
          <w:p w14:paraId="25D09F32">
            <w:pPr>
              <w:spacing w:line="240" w:lineRule="auto"/>
              <w:ind w:firstLine="0" w:firstLineChars="0"/>
              <w:rPr>
                <w:rFonts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财务数据脱敏技术实操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4639C1A8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案例：某公司泄露客户财务数据被处罚 - 实训：用SQL实现敏感数据加密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35BCC4F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国家安全观：保护财务数据就是维护经济安全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3B9EDBB">
            <w:pPr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  <w:tr w14:paraId="1645D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6B916995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9258BA3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项目五</w:t>
            </w:r>
          </w:p>
          <w:p w14:paraId="4FA63E9E">
            <w:pPr>
              <w:spacing w:line="24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  <w:t>平台经济与数字合规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7097370">
            <w:pPr>
              <w:tabs>
                <w:tab w:val="left" w:pos="351"/>
              </w:tabs>
              <w:spacing w:line="240" w:lineRule="auto"/>
              <w:ind w:firstLine="0" w:firstLineChars="0"/>
              <w:jc w:val="left"/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平台经济反垄断案例分析、生成式AI知识产权保护、企业数据合规风险评估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50F2268E"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掌握《数字经济促进法》草案中平台经济监管规则；分析生成式AI生成内容的著作权归属及侵权风险；</w:t>
            </w:r>
          </w:p>
          <w:p w14:paraId="1C8B171B">
            <w:pPr>
              <w:spacing w:line="24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运用《数据安全法》</w:t>
            </w:r>
            <w:r>
              <w:rPr>
                <w:rFonts w:hint="eastAsia" w:ascii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/>
                <w:sz w:val="24"/>
                <w:szCs w:val="24"/>
              </w:rPr>
              <w:t>《个人信息保护法》评估企业数据收集、存储、使用的合规性。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F2CE719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角色扮演（模拟反垄断调查听证会）、案例研讨（某平台“二选一”垄断案）、技术实操（用SQL检索企业数据违规记录）。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33656B2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强化公平竞争意识（反对垄断）、数据主权观念（维护国家经济安全）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9C795A6">
            <w:pPr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6</w:t>
            </w:r>
          </w:p>
        </w:tc>
      </w:tr>
    </w:tbl>
    <w:p w14:paraId="4F6E6958">
      <w:pPr>
        <w:ind w:firstLine="480"/>
        <w:jc w:val="left"/>
        <w:rPr>
          <w:rFonts w:ascii="仿宋_GB2312" w:hAnsi="仿宋_GB2312" w:cs="仿宋_GB2312"/>
          <w:b/>
          <w:bCs/>
          <w:sz w:val="24"/>
          <w:szCs w:val="21"/>
        </w:rPr>
      </w:pPr>
    </w:p>
    <w:p w14:paraId="0A6BD2BF">
      <w:pPr>
        <w:pStyle w:val="2"/>
        <w:ind w:firstLine="653"/>
      </w:pPr>
      <w:bookmarkStart w:id="31" w:name="_Toc18126"/>
      <w:bookmarkStart w:id="32" w:name="_Toc20287"/>
      <w:bookmarkStart w:id="33" w:name="_Toc502337267"/>
      <w:r>
        <w:rPr>
          <w:rFonts w:hint="eastAsia"/>
        </w:rPr>
        <w:t>七、学习评价</w:t>
      </w:r>
      <w:bookmarkEnd w:id="31"/>
      <w:bookmarkEnd w:id="32"/>
      <w:bookmarkEnd w:id="33"/>
    </w:p>
    <w:p w14:paraId="6580A2EE">
      <w:pPr>
        <w:spacing w:line="360" w:lineRule="auto"/>
        <w:ind w:firstLine="560"/>
      </w:pPr>
      <w:r>
        <w:rPr>
          <w:rFonts w:hint="eastAsia"/>
          <w:b/>
          <w:bCs/>
        </w:rPr>
        <w:t>本课程达标要求：</w:t>
      </w:r>
    </w:p>
    <w:p w14:paraId="12F7717C">
      <w:pPr>
        <w:ind w:firstLine="48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5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897"/>
        <w:gridCol w:w="2483"/>
        <w:gridCol w:w="2505"/>
        <w:gridCol w:w="1134"/>
      </w:tblGrid>
      <w:tr w14:paraId="4071A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39C9608A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D89545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18756F04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6C30A506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2137B657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715AF54E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4981990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0BD8D719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18C091FB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2EAD10FE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3F37F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63FB335B">
            <w:pPr>
              <w:spacing w:line="240" w:lineRule="auto"/>
              <w:ind w:firstLine="0" w:firstLineChars="0"/>
              <w:jc w:val="center"/>
              <w:rPr>
                <w:rFonts w:ascii="仿宋_GB2312"/>
                <w:b/>
                <w:bCs/>
                <w:sz w:val="24"/>
                <w:szCs w:val="24"/>
              </w:rPr>
            </w:pPr>
          </w:p>
          <w:p w14:paraId="36EE0C37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E21139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项目一</w:t>
            </w:r>
          </w:p>
          <w:p w14:paraId="7C706036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合同法与智能合同 论</w:t>
            </w: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66B8545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审核购销合同条款 - 能准确指出合同中付款、违约条款的法律风险点（引用《民法典》第509、585条）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733D7B8C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使用OCR工具提取合同关键信息，准确率≥90%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7D869927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105A118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57EB17CF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实操考核（合同扫描软件/机房）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攥写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案例分析报告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10%）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70FD4473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</w:tr>
      <w:tr w14:paraId="0734A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7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  <w:vAlign w:val="center"/>
          </w:tcPr>
          <w:p w14:paraId="2F5125C7">
            <w:pPr>
              <w:spacing w:line="240" w:lineRule="auto"/>
              <w:ind w:firstLine="0" w:firstLineChars="0"/>
              <w:jc w:val="center"/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55FFE5">
            <w:pPr>
              <w:spacing w:line="240" w:lineRule="auto"/>
              <w:ind w:firstLine="0" w:firstLineChars="0"/>
              <w:jc w:val="center"/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2EB57517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2.模拟合同纠纷处理 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54908F74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提出合法解决方案（如违约金调整、继续履行）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2896CAC2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小组协作完成纠纷调解角色扮演，逻辑清晰  情景模拟（教室/实训室） - 教师观察评分（10%）</w:t>
            </w: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13421D1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243BAC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417C7623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046C93BC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项目二</w:t>
            </w:r>
          </w:p>
          <w:p w14:paraId="6E0F0FD1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税法与智能财税</w:t>
            </w: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765B0B6E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计算企业增值税 - 正确应用税率完成税额计算（误差≤5%</w:t>
            </w:r>
          </w:p>
        </w:tc>
        <w:tc>
          <w:tcPr>
            <w:tcW w:w="2483" w:type="dxa"/>
            <w:tcBorders>
              <w:tl2br w:val="nil"/>
              <w:tr2bl w:val="nil"/>
            </w:tcBorders>
          </w:tcPr>
          <w:p w14:paraId="18A622F4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通过税务大数据平台识别1项潜在风险（如发票异常）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1E12782E">
            <w:pPr>
              <w:spacing w:line="240" w:lineRule="auto"/>
              <w:ind w:firstLine="0" w:firstLineChars="0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上机操作（智能财税系统/机房） - 计算结果提交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0%）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459946BD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</w:tr>
      <w:tr w14:paraId="22AFD2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05F7BAD">
            <w:pPr>
              <w:spacing w:line="240" w:lineRule="auto"/>
              <w:ind w:firstLine="0" w:firstLineChars="0"/>
              <w:jc w:val="center"/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6D72510C">
            <w:pPr>
              <w:spacing w:line="240" w:lineRule="auto"/>
              <w:ind w:firstLine="0" w:firstLineChars="0"/>
              <w:jc w:val="center"/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2F1BFB68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设计合规节税方案</w:t>
            </w:r>
          </w:p>
        </w:tc>
        <w:tc>
          <w:tcPr>
            <w:tcW w:w="2483" w:type="dxa"/>
            <w:tcBorders>
              <w:tl2br w:val="nil"/>
              <w:tr2bl w:val="nil"/>
            </w:tcBorders>
          </w:tcPr>
          <w:p w14:paraId="4B4E1D48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方案符合《税法》规定，至少提出2条合法节税措施 - 结合数据分析说明社会效益（如促进就业）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6EB26F42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小组答辩（多媒体教室） - 方案文档评分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10%）</w:t>
            </w: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75C0AC3C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39B14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153176A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2BD99116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项目三</w:t>
            </w:r>
          </w:p>
          <w:p w14:paraId="3DF1C935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企业法律制度</w:t>
            </w:r>
          </w:p>
          <w:p w14:paraId="16D3DC1C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747979B1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分析股东出资责任</w:t>
            </w:r>
          </w:p>
        </w:tc>
        <w:tc>
          <w:tcPr>
            <w:tcW w:w="2483" w:type="dxa"/>
            <w:tcBorders>
              <w:tl2br w:val="nil"/>
              <w:tr2bl w:val="nil"/>
            </w:tcBorders>
          </w:tcPr>
          <w:p w14:paraId="4C9A6EFF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  <w:p w14:paraId="10419FE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用《公司法》第20条说明股东有限责任例外情形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1AE9CEDD">
            <w:pPr>
              <w:spacing w:line="24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通过企查查生成股权结构图，标注风险股东 - 个人作业（股权分析报告） - 工具操作截图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10%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16B1AFC8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</w:tr>
      <w:tr w14:paraId="43C9E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7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42871087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5291DB71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409C5412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模拟公司设立登记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4851FE18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完整填写公司设立登记表（无法律错误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01C68B40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团队分工合理，流程符合《公司登记管理条例》 </w:t>
            </w:r>
          </w:p>
          <w:p w14:paraId="0C3682A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角色扮演（政务服务中心模拟窗口） </w:t>
            </w:r>
          </w:p>
          <w:p w14:paraId="0C8DCA7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流程完整性评分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10%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369D18B7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22B74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3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EE0FB7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op w:val="single" w:color="auto" w:sz="4" w:space="0"/>
              <w:tl2br w:val="nil"/>
              <w:tr2bl w:val="nil"/>
            </w:tcBorders>
            <w:vAlign w:val="center"/>
          </w:tcPr>
          <w:p w14:paraId="3F026C58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项目四</w:t>
            </w:r>
          </w:p>
          <w:p w14:paraId="4800B910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市场秩序管理法律制度</w:t>
            </w: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765B2B6E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财务数据脱敏处理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721744CD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按《数据安全法》要求对模拟数据脱敏（如隐藏身份证号） 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4BB4D98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编写简易SQL查询语句筛选敏感数据 - 实操考核（数据库管理软件/机房）</w:t>
            </w:r>
          </w:p>
          <w:p w14:paraId="03485ED0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数据脱敏结果检查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10%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0A6A1514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</w:tr>
      <w:tr w14:paraId="39F78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C1D7F5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42AA4C83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1A46060C">
            <w:pPr>
              <w:spacing w:line="480" w:lineRule="auto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 xml:space="preserve">2.数据安全案例分析  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0B62C6A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总结案例中企业违法点（如未履行个人信息保护义务）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676B319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 xml:space="preserve"> 制作1份数据安全宣传海报（含法律条款） - 海报设计（电子版提交） - 课堂展示评分 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(</w:t>
            </w:r>
            <w:r>
              <w:rPr>
                <w:rFonts w:hint="eastAsia" w:ascii="仿宋_GB2312" w:hAnsi="仿宋_GB2312" w:cs="仿宋_GB2312"/>
                <w:sz w:val="24"/>
                <w:szCs w:val="24"/>
              </w:rPr>
              <w:t>10%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)</w:t>
            </w: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165AF1B6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5741E6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</w:tcPr>
          <w:p w14:paraId="4C45AC3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bookmarkStart w:id="34" w:name="_Toc18233"/>
            <w:bookmarkStart w:id="35" w:name="_Toc11140"/>
            <w:bookmarkStart w:id="36" w:name="_Toc502337268"/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0C140068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项目五</w:t>
            </w:r>
          </w:p>
          <w:p w14:paraId="1EF9EF8E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  <w:t>平台经济与数字合规</w:t>
            </w: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688A2E49">
            <w:pPr>
              <w:spacing w:line="480" w:lineRule="auto"/>
              <w:ind w:firstLine="0" w:firstLineChars="0"/>
              <w:rPr>
                <w:rFonts w:hint="default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1.著作权侵权责任分析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1AC5712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</w:rPr>
              <w:t>分析生成式AI生成内容的著作权归属及侵权风险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65F43239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案例研讨（某平台“二选一”垄断案）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,案例分析报告检查</w:t>
            </w:r>
          </w:p>
          <w:p w14:paraId="3BDAC088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(10%)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</w:tcPr>
          <w:p w14:paraId="2F89A658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41E53A7B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7B9F03A7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3F1EA3AE">
            <w:pPr>
              <w:spacing w:line="240" w:lineRule="auto"/>
              <w:ind w:firstLine="0" w:firstLineChars="0"/>
              <w:jc w:val="center"/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</w:pPr>
          </w:p>
          <w:p w14:paraId="5231E677">
            <w:pPr>
              <w:spacing w:line="240" w:lineRule="auto"/>
              <w:ind w:firstLine="0" w:firstLineChars="0"/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20</w:t>
            </w:r>
          </w:p>
        </w:tc>
      </w:tr>
      <w:tr w14:paraId="49D3D7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4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CB007E4">
            <w:pPr>
              <w:spacing w:line="480" w:lineRule="auto"/>
              <w:ind w:firstLine="0" w:firstLineChars="0"/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2E63F6BC">
            <w:pPr>
              <w:spacing w:line="480" w:lineRule="auto"/>
              <w:ind w:firstLine="0" w:firstLineChars="0"/>
            </w:pPr>
          </w:p>
        </w:tc>
        <w:tc>
          <w:tcPr>
            <w:tcW w:w="1897" w:type="dxa"/>
            <w:tcBorders>
              <w:tl2br w:val="nil"/>
              <w:tr2bl w:val="nil"/>
            </w:tcBorders>
            <w:vAlign w:val="center"/>
          </w:tcPr>
          <w:p w14:paraId="7A34CF25">
            <w:pPr>
              <w:spacing w:line="48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_GB2312"/>
                <w:sz w:val="24"/>
                <w:szCs w:val="24"/>
              </w:rPr>
              <w:t>企业数据合规</w:t>
            </w:r>
            <w:r>
              <w:rPr>
                <w:rFonts w:hint="eastAsia" w:ascii="仿宋_GB2312"/>
                <w:sz w:val="24"/>
                <w:szCs w:val="24"/>
                <w:lang w:val="en-US" w:eastAsia="zh-CN"/>
              </w:rPr>
              <w:t>审查</w:t>
            </w:r>
            <w:r>
              <w:rPr>
                <w:rFonts w:hint="eastAsia" w:ascii="仿宋_GB2312"/>
                <w:sz w:val="24"/>
                <w:szCs w:val="24"/>
              </w:rPr>
              <w:t>。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vAlign w:val="center"/>
          </w:tcPr>
          <w:p w14:paraId="3BB0BF04">
            <w:pPr>
              <w:spacing w:line="48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  <w:r>
              <w:rPr>
                <w:rFonts w:hint="eastAsia" w:ascii="仿宋_GB2312"/>
                <w:sz w:val="24"/>
                <w:szCs w:val="24"/>
              </w:rPr>
              <w:t>评估企业数据收集、存储、使用的合规性。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660C05DF">
            <w:pPr>
              <w:spacing w:line="480" w:lineRule="auto"/>
              <w:ind w:firstLine="0" w:firstLineChars="0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4"/>
                <w:szCs w:val="24"/>
              </w:rPr>
              <w:t>技术实操（用SQL检索企业数据违规记录</w:t>
            </w:r>
            <w:r>
              <w:rPr>
                <w:rFonts w:hint="eastAsia" w:ascii="仿宋_GB2312" w:hAnsi="仿宋_GB2312" w:cs="仿宋_GB2312"/>
                <w:sz w:val="24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_GB2312" w:cs="仿宋_GB2312"/>
                <w:sz w:val="24"/>
                <w:szCs w:val="24"/>
                <w:lang w:val="en-US" w:eastAsia="zh-CN"/>
              </w:rPr>
              <w:t>截图评分（10%）</w:t>
            </w: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1B666BDB">
            <w:pPr>
              <w:spacing w:line="480" w:lineRule="auto"/>
              <w:ind w:firstLine="0" w:firstLineChars="0"/>
              <w:rPr>
                <w:rFonts w:hint="eastAsia" w:ascii="仿宋_GB2312"/>
                <w:sz w:val="24"/>
                <w:szCs w:val="24"/>
              </w:rPr>
            </w:pPr>
          </w:p>
        </w:tc>
      </w:tr>
    </w:tbl>
    <w:p w14:paraId="678BCB8B">
      <w:pPr>
        <w:pStyle w:val="2"/>
        <w:ind w:firstLine="653"/>
      </w:pPr>
      <w:r>
        <w:rPr>
          <w:rFonts w:hint="eastAsia"/>
        </w:rPr>
        <w:t>八、教学资源</w:t>
      </w:r>
      <w:bookmarkEnd w:id="34"/>
      <w:bookmarkEnd w:id="35"/>
      <w:bookmarkEnd w:id="36"/>
    </w:p>
    <w:p w14:paraId="790C8E27">
      <w:pPr>
        <w:pStyle w:val="3"/>
        <w:ind w:firstLine="560"/>
        <w:rPr>
          <w:rFonts w:hint="eastAsia"/>
        </w:rPr>
      </w:pPr>
      <w:bookmarkStart w:id="37" w:name="_Toc16925"/>
      <w:bookmarkStart w:id="38" w:name="_Toc20587"/>
      <w:r>
        <w:rPr>
          <w:rFonts w:hint="eastAsia"/>
        </w:rPr>
        <w:t>（一）主要参考教材</w:t>
      </w:r>
      <w:bookmarkEnd w:id="37"/>
      <w:bookmarkEnd w:id="38"/>
    </w:p>
    <w:p w14:paraId="18751466">
      <w:pPr>
        <w:ind w:firstLine="840" w:firstLineChars="300"/>
        <w:rPr>
          <w:rFonts w:hint="eastAsia"/>
          <w:lang w:val="en-US" w:eastAsia="zh-CN"/>
        </w:rPr>
      </w:pPr>
      <w:bookmarkStart w:id="51" w:name="_GoBack"/>
      <w:bookmarkEnd w:id="51"/>
      <w:r>
        <w:rPr>
          <w:rFonts w:hint="eastAsia"/>
          <w:lang w:val="en-US" w:eastAsia="zh-CN"/>
        </w:rPr>
        <w:t>《经济法基础</w:t>
      </w:r>
      <w:bookmarkStart w:id="39" w:name="_Toc29665"/>
      <w:bookmarkStart w:id="40" w:name="_Toc17555"/>
      <w:r>
        <w:rPr>
          <w:rFonts w:hint="eastAsia"/>
          <w:lang w:val="en-US" w:eastAsia="zh-CN"/>
        </w:rPr>
        <w:t>》</w:t>
      </w:r>
    </w:p>
    <w:p w14:paraId="7AF20F81">
      <w:pPr>
        <w:pStyle w:val="3"/>
        <w:ind w:firstLine="560"/>
        <w:rPr>
          <w:rFonts w:hint="eastAsia"/>
        </w:rPr>
      </w:pPr>
      <w:r>
        <w:rPr>
          <w:rFonts w:hint="eastAsia"/>
        </w:rPr>
        <w:t>（二）其他参考资料</w:t>
      </w:r>
      <w:bookmarkEnd w:id="39"/>
      <w:bookmarkEnd w:id="40"/>
    </w:p>
    <w:p w14:paraId="6A765C13">
      <w:pPr>
        <w:spacing w:line="360" w:lineRule="auto"/>
        <w:ind w:firstLine="560"/>
        <w:rPr>
          <w:rFonts w:hint="eastAsia"/>
        </w:rPr>
      </w:pPr>
      <w:r>
        <w:rPr>
          <w:rFonts w:hint="eastAsia"/>
        </w:rPr>
        <w:t>《数字经济法实务》</w:t>
      </w:r>
      <w:r>
        <w:rPr>
          <w:rFonts w:hint="eastAsia"/>
          <w:lang w:eastAsia="zh-CN"/>
        </w:rPr>
        <w:t>、</w:t>
      </w:r>
      <w:r>
        <w:rPr>
          <w:rFonts w:hint="eastAsia"/>
        </w:rPr>
        <w:t>《智能合约法律指南》</w:t>
      </w:r>
      <w:r>
        <w:rPr>
          <w:rFonts w:hint="eastAsia"/>
          <w:lang w:eastAsia="zh-CN"/>
        </w:rPr>
        <w:t>、</w:t>
      </w:r>
      <w:r>
        <w:rPr>
          <w:rFonts w:hint="eastAsia"/>
        </w:rPr>
        <w:t>《数据合规实务》</w:t>
      </w:r>
      <w:r>
        <w:rPr>
          <w:rFonts w:hint="eastAsia"/>
          <w:lang w:eastAsia="zh-CN"/>
        </w:rPr>
        <w:t>、</w:t>
      </w:r>
      <w:r>
        <w:rPr>
          <w:rFonts w:hint="eastAsia"/>
        </w:rPr>
        <w:t>司法大数据平台（如“法信”“裁判文书网”）、法律AI工具（如合同审查机器人）、技术标准文档（如《区块链存证技术规范》）。​</w:t>
      </w:r>
      <w:r>
        <w:rPr>
          <w:rFonts w:hint="eastAsia"/>
        </w:rPr>
        <w:t>。</w:t>
      </w:r>
    </w:p>
    <w:p w14:paraId="01DC1869">
      <w:pPr>
        <w:pStyle w:val="3"/>
        <w:ind w:firstLine="560"/>
      </w:pPr>
      <w:bookmarkStart w:id="41" w:name="_Toc21776"/>
      <w:bookmarkStart w:id="42" w:name="_Toc27934"/>
      <w:r>
        <w:rPr>
          <w:rFonts w:hint="eastAsia"/>
        </w:rPr>
        <w:t>（三）实训条件</w:t>
      </w:r>
      <w:bookmarkEnd w:id="41"/>
      <w:bookmarkEnd w:id="42"/>
    </w:p>
    <w:p w14:paraId="73A11363">
      <w:pPr>
        <w:spacing w:line="360" w:lineRule="auto"/>
        <w:ind w:firstLine="560"/>
        <w:rPr>
          <w:rFonts w:hint="eastAsia" w:eastAsia="仿宋_GB2312"/>
          <w:lang w:val="en-US" w:eastAsia="zh-CN"/>
        </w:rPr>
      </w:pPr>
      <w:r>
        <w:rPr>
          <w:rFonts w:hint="eastAsia"/>
        </w:rPr>
        <w:t>1.硬件设施：</w:t>
      </w:r>
      <w:r>
        <w:rPr>
          <w:rFonts w:hint="eastAsia"/>
          <w:lang w:val="en-US" w:eastAsia="zh-CN"/>
        </w:rPr>
        <w:t>机房</w:t>
      </w:r>
    </w:p>
    <w:p w14:paraId="0571B35C">
      <w:pPr>
        <w:spacing w:line="360" w:lineRule="auto"/>
        <w:ind w:firstLine="560"/>
        <w:rPr>
          <w:rFonts w:hint="eastAsia"/>
          <w:lang w:val="en-US" w:eastAsia="zh-CN"/>
        </w:rPr>
      </w:pPr>
      <w:r>
        <w:rPr>
          <w:rFonts w:hint="eastAsia"/>
        </w:rPr>
        <w:t>2.软件设施：</w:t>
      </w:r>
      <w:r>
        <w:rPr>
          <w:rFonts w:hint="eastAsia"/>
          <w:lang w:val="en-US" w:eastAsia="zh-CN"/>
        </w:rPr>
        <w:t>法律数据库检索系统（如法信）、智能合约模拟平台、数据脱敏工具（如SQL加密插件）</w:t>
      </w:r>
    </w:p>
    <w:p w14:paraId="75FA7429">
      <w:pPr>
        <w:pStyle w:val="3"/>
        <w:ind w:firstLine="560"/>
        <w:rPr>
          <w:rFonts w:hint="eastAsia"/>
        </w:rPr>
      </w:pPr>
      <w:bookmarkStart w:id="43" w:name="_Toc29888"/>
      <w:bookmarkStart w:id="44" w:name="_Toc7079"/>
      <w:r>
        <w:rPr>
          <w:rFonts w:hint="eastAsia"/>
        </w:rPr>
        <w:t>（四）信息化教学资源</w:t>
      </w:r>
      <w:bookmarkEnd w:id="43"/>
      <w:bookmarkEnd w:id="44"/>
    </w:p>
    <w:p w14:paraId="7D87657C">
      <w:pPr>
        <w:spacing w:line="360" w:lineRule="auto"/>
        <w:ind w:firstLine="56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1.虚拟仿真实训系统（模拟反垄断调查、数字货币交易合规审查）、在线课程资源（对接国家智慧教育平台数字经济法律专题）。</w:t>
      </w:r>
    </w:p>
    <w:p w14:paraId="5BBE0D6B">
      <w:pPr>
        <w:pStyle w:val="2"/>
        <w:ind w:firstLine="653"/>
        <w:rPr>
          <w:rFonts w:hint="eastAsia"/>
        </w:rPr>
      </w:pPr>
      <w:bookmarkStart w:id="45" w:name="_Toc6694"/>
      <w:bookmarkStart w:id="46" w:name="_Toc12227"/>
      <w:bookmarkStart w:id="47" w:name="_Hlk90479468"/>
      <w:r>
        <w:rPr>
          <w:rFonts w:hint="eastAsia"/>
        </w:rPr>
        <w:t>九、师资要求</w:t>
      </w:r>
      <w:bookmarkEnd w:id="45"/>
      <w:bookmarkEnd w:id="46"/>
    </w:p>
    <w:p w14:paraId="3AF29302">
      <w:pPr>
        <w:spacing w:line="360" w:lineRule="auto"/>
        <w:ind w:firstLine="56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default"/>
          <w:lang w:val="en-US" w:eastAsia="zh-CN"/>
        </w:rPr>
        <w:t>熟悉数字经济相关法律动态（如平台经济反垄断、数据安全法实施细节）；</w:t>
      </w:r>
    </w:p>
    <w:p w14:paraId="7D712453">
      <w:pPr>
        <w:spacing w:line="360" w:lineRule="auto"/>
        <w:ind w:left="0" w:leftChars="0"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2</w:t>
      </w:r>
      <w:r>
        <w:rPr>
          <w:rFonts w:hint="default"/>
          <w:lang w:val="en-US" w:eastAsia="zh-CN"/>
        </w:rPr>
        <w:t>.掌握法律数据库检索技巧及AI工具应用（如用Python分析合同风险、用SQL处理合规数据）；</w:t>
      </w:r>
    </w:p>
    <w:p w14:paraId="5185BE03">
      <w:pPr>
        <w:spacing w:line="360" w:lineRule="auto"/>
        <w:ind w:left="0" w:leftChars="0" w:firstLine="56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3.定期参与企业技术培训（如区块链存证实务、智能合约审计案例研讨）。</w:t>
      </w:r>
      <w:bookmarkStart w:id="48" w:name="_Toc29184"/>
      <w:bookmarkStart w:id="49" w:name="_Toc502337269"/>
      <w:bookmarkStart w:id="50" w:name="_Toc3001"/>
    </w:p>
    <w:p w14:paraId="4CBADBFB">
      <w:pPr>
        <w:pStyle w:val="2"/>
        <w:ind w:firstLine="653"/>
        <w:rPr>
          <w:rFonts w:hint="eastAsia"/>
        </w:rPr>
      </w:pPr>
      <w:r>
        <w:rPr>
          <w:rFonts w:hint="eastAsia"/>
        </w:rPr>
        <w:t>十、其它说明</w:t>
      </w:r>
      <w:bookmarkEnd w:id="48"/>
      <w:bookmarkEnd w:id="49"/>
      <w:bookmarkEnd w:id="50"/>
    </w:p>
    <w:bookmarkEnd w:id="3"/>
    <w:bookmarkEnd w:id="4"/>
    <w:bookmarkEnd w:id="5"/>
    <w:bookmarkEnd w:id="47"/>
    <w:p w14:paraId="6C5D16FF">
      <w:pPr>
        <w:pStyle w:val="1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6" w:lineRule="atLeast"/>
        <w:ind w:left="0" w:leftChars="0" w:right="0" w:firstLine="560" w:firstLineChars="200"/>
        <w:jc w:val="left"/>
        <w:textAlignment w:val="baseline"/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</w:pPr>
      <w:r>
        <w:rPr>
          <w:rFonts w:hint="eastAsia" w:cs="Times New Roman"/>
          <w:kern w:val="2"/>
          <w:sz w:val="28"/>
          <w:szCs w:val="22"/>
          <w:lang w:val="en-US" w:eastAsia="zh-CN" w:bidi="ar-SA"/>
        </w:rPr>
        <w:t>1.</w:t>
      </w:r>
      <w:r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  <w:t>同步修订机制：每学期联合企业发布《课程技术增补清单》（如新增“量子计算对加密审计的影响”“生成式AI版权归属规则”），按季度由“产教标准同步委员会”审核课程与职业目录匹配度。</w:t>
      </w:r>
    </w:p>
    <w:p w14:paraId="124CBBDE"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/>
        <w:ind w:right="0" w:rightChars="0" w:firstLine="560" w:firstLineChars="200"/>
        <w:jc w:val="left"/>
        <w:textAlignment w:val="baseline"/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  <w:t>2.技术迭代适配：确保课程内容技术迭代周期≤6个月，重点覆盖数字货币监管、AI算法合规等新兴领域。</w:t>
      </w:r>
    </w:p>
    <w:p w14:paraId="613DBECF"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/>
        <w:ind w:right="0" w:rightChars="0" w:firstLine="560" w:firstLineChars="200"/>
        <w:jc w:val="left"/>
        <w:textAlignment w:val="baseline"/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  <w:t>3.参考资料更新</w:t>
      </w:r>
      <w:r>
        <w:rPr>
          <w:rFonts w:hint="eastAsia" w:cs="Times New Roman"/>
          <w:kern w:val="2"/>
          <w:sz w:val="28"/>
          <w:szCs w:val="22"/>
          <w:lang w:val="en-US" w:eastAsia="zh-CN" w:bidi="ar-SA"/>
        </w:rPr>
        <w:t>：</w:t>
      </w:r>
      <w:r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  <w:t>强制要求每学年补充司法大数据平台（如“法信”）及最新立法司法解释文件。</w:t>
      </w:r>
    </w:p>
    <w:p w14:paraId="37961695">
      <w:pPr>
        <w:ind w:firstLine="560"/>
        <w:rPr>
          <w:rFonts w:hint="default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470BCA">
    <w:pPr>
      <w:pStyle w:val="8"/>
      <w:ind w:firstLine="360"/>
      <w:jc w:val="center"/>
    </w:pPr>
    <w:r>
      <w:rPr>
        <w:lang w:val="zh-CN"/>
      </w:rPr>
      <w:t xml:space="preserve"> </w:t>
    </w:r>
  </w:p>
  <w:p w14:paraId="449C1408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53460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F800D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3A16AC">
    <w:pPr>
      <w:pStyle w:val="8"/>
      <w:ind w:firstLine="360"/>
      <w:jc w:val="center"/>
    </w:pPr>
    <w:r>
      <w:rPr>
        <w:lang w:val="zh-CN"/>
      </w:rPr>
      <w:t xml:space="preserve"> </w:t>
    </w:r>
  </w:p>
  <w:p w14:paraId="7384CB6D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DF9A68">
    <w:pPr>
      <w:pStyle w:val="8"/>
      <w:ind w:firstLine="360"/>
      <w:jc w:val="center"/>
    </w:pPr>
    <w:r>
      <w:rPr>
        <w:lang w:val="zh-CN"/>
      </w:rPr>
      <w:t xml:space="preserve"> </w:t>
    </w:r>
  </w:p>
  <w:p w14:paraId="34334021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49AC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5177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B80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56A6B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4F36FCB"/>
    <w:rsid w:val="06264DD4"/>
    <w:rsid w:val="071F59E5"/>
    <w:rsid w:val="08087066"/>
    <w:rsid w:val="0B4B3EED"/>
    <w:rsid w:val="13C6123F"/>
    <w:rsid w:val="152B70E8"/>
    <w:rsid w:val="15D56A42"/>
    <w:rsid w:val="169325B8"/>
    <w:rsid w:val="172F601F"/>
    <w:rsid w:val="1761002E"/>
    <w:rsid w:val="17735D8C"/>
    <w:rsid w:val="18493218"/>
    <w:rsid w:val="18BA29FE"/>
    <w:rsid w:val="1D280AB9"/>
    <w:rsid w:val="1E0C36DB"/>
    <w:rsid w:val="20BE299A"/>
    <w:rsid w:val="2392755E"/>
    <w:rsid w:val="273677B9"/>
    <w:rsid w:val="29790743"/>
    <w:rsid w:val="2D276405"/>
    <w:rsid w:val="2E7B7787"/>
    <w:rsid w:val="2F6A77B8"/>
    <w:rsid w:val="30611F0A"/>
    <w:rsid w:val="317D4E81"/>
    <w:rsid w:val="32DC0EB2"/>
    <w:rsid w:val="33670DA7"/>
    <w:rsid w:val="33BD324E"/>
    <w:rsid w:val="34710AAF"/>
    <w:rsid w:val="3A9340B4"/>
    <w:rsid w:val="3DD96F86"/>
    <w:rsid w:val="3EBC5DDD"/>
    <w:rsid w:val="3F88629F"/>
    <w:rsid w:val="3FF42CA8"/>
    <w:rsid w:val="44883AC1"/>
    <w:rsid w:val="44890655"/>
    <w:rsid w:val="47DB4379"/>
    <w:rsid w:val="489268FC"/>
    <w:rsid w:val="49564CEF"/>
    <w:rsid w:val="4CCD5FB7"/>
    <w:rsid w:val="4E053309"/>
    <w:rsid w:val="4E7D579A"/>
    <w:rsid w:val="53596C0B"/>
    <w:rsid w:val="54A518C5"/>
    <w:rsid w:val="562A3B61"/>
    <w:rsid w:val="575F1A59"/>
    <w:rsid w:val="59B04FCC"/>
    <w:rsid w:val="5A502305"/>
    <w:rsid w:val="5A63129F"/>
    <w:rsid w:val="5ADE57B1"/>
    <w:rsid w:val="5BCF6EC1"/>
    <w:rsid w:val="5E8A4E8C"/>
    <w:rsid w:val="685B2491"/>
    <w:rsid w:val="694C5B6A"/>
    <w:rsid w:val="6C932E12"/>
    <w:rsid w:val="6D695A44"/>
    <w:rsid w:val="6E8A7606"/>
    <w:rsid w:val="70D22201"/>
    <w:rsid w:val="766F7295"/>
    <w:rsid w:val="76AA6A38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20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21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2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3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link w:val="3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3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paragraph" w:styleId="1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Hyperlink"/>
    <w:unhideWhenUsed/>
    <w:qFormat/>
    <w:uiPriority w:val="99"/>
    <w:rPr>
      <w:color w:val="0000FF"/>
      <w:u w:val="single"/>
    </w:rPr>
  </w:style>
  <w:style w:type="character" w:customStyle="1" w:styleId="19">
    <w:name w:val="批注框文本 字符"/>
    <w:basedOn w:val="16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0">
    <w:name w:val="标题 1 字符"/>
    <w:basedOn w:val="16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21">
    <w:name w:val="标题 2 字符"/>
    <w:basedOn w:val="16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2">
    <w:name w:val="标题 3 字符"/>
    <w:basedOn w:val="16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3">
    <w:name w:val="标题 4 字符"/>
    <w:basedOn w:val="16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4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5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6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7">
    <w:name w:val="style41"/>
    <w:basedOn w:val="16"/>
    <w:qFormat/>
    <w:uiPriority w:val="0"/>
    <w:rPr>
      <w:sz w:val="18"/>
    </w:rPr>
  </w:style>
  <w:style w:type="paragraph" w:customStyle="1" w:styleId="28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9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30">
    <w:name w:val="页脚 字符"/>
    <w:basedOn w:val="16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31">
    <w:name w:val="页眉 字符"/>
    <w:basedOn w:val="16"/>
    <w:link w:val="9"/>
    <w:qFormat/>
    <w:uiPriority w:val="99"/>
    <w:rPr>
      <w:rFonts w:eastAsia="仿宋_GB2312"/>
      <w:kern w:val="2"/>
      <w:sz w:val="18"/>
      <w:szCs w:val="18"/>
    </w:rPr>
  </w:style>
  <w:style w:type="paragraph" w:styleId="32">
    <w:name w:val="List Paragraph"/>
    <w:basedOn w:val="1"/>
    <w:qFormat/>
    <w:uiPriority w:val="99"/>
    <w:pPr>
      <w:ind w:firstLine="420"/>
    </w:pPr>
  </w:style>
  <w:style w:type="paragraph" w:customStyle="1" w:styleId="33">
    <w:name w:val="其他"/>
    <w:basedOn w:val="1"/>
    <w:qFormat/>
    <w:uiPriority w:val="0"/>
    <w:pPr>
      <w:spacing w:line="360" w:lineRule="auto"/>
      <w:ind w:firstLine="400"/>
    </w:pPr>
    <w:rPr>
      <w:rFonts w:ascii="宋体" w:hAnsi="宋体" w:eastAsia="宋体" w:cs="宋体"/>
      <w:sz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192</Words>
  <Characters>199</Characters>
  <Lines>15</Lines>
  <Paragraphs>5</Paragraphs>
  <TotalTime>10</TotalTime>
  <ScaleCrop>false</ScaleCrop>
  <LinksUpToDate>false</LinksUpToDate>
  <CharactersWithSpaces>259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安逸的波斯</cp:lastModifiedBy>
  <cp:lastPrinted>2024-07-02T05:20:00Z</cp:lastPrinted>
  <dcterms:modified xsi:type="dcterms:W3CDTF">2025-08-18T13:29:48Z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eyJoZGlkIjoiYmEzNGUzYWY4MDVmYTJhZTYyNjE0ODAwYjJkMTY2OGQiLCJ1c2VySWQiOiI0ODk5NzczNzcifQ==</vt:lpwstr>
  </property>
</Properties>
</file>