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A4C925">
      <w:pPr>
        <w:widowControl/>
        <w:spacing w:line="240" w:lineRule="auto"/>
        <w:ind w:firstLine="0" w:firstLineChars="0"/>
        <w:rPr>
          <w:rFonts w:eastAsia="方正流行体简体"/>
          <w:spacing w:val="-10"/>
          <w:sz w:val="60"/>
          <w:szCs w:val="60"/>
        </w:rPr>
      </w:pPr>
      <w:r>
        <w:rPr>
          <w:rFonts w:hint="eastAsia" w:eastAsia="方正流行体简体"/>
          <w:spacing w:val="-10"/>
          <w:sz w:val="60"/>
          <w:szCs w:val="60"/>
        </w:rPr>
        <w:drawing>
          <wp:inline distT="0" distB="0" distL="114300" distR="114300">
            <wp:extent cx="5267325" cy="1393825"/>
            <wp:effectExtent l="0" t="0" r="9525" b="15875"/>
            <wp:docPr id="3" name="图片 3" descr="logo最终_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logo最终_00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139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EB8BDA">
      <w:pPr>
        <w:spacing w:line="240" w:lineRule="auto"/>
        <w:ind w:firstLine="0" w:firstLineChars="0"/>
        <w:rPr>
          <w:rFonts w:ascii="隶书" w:eastAsia="隶书"/>
          <w:spacing w:val="-60"/>
          <w:sz w:val="32"/>
          <w:szCs w:val="32"/>
        </w:rPr>
      </w:pPr>
    </w:p>
    <w:p w14:paraId="5C33A482">
      <w:pPr>
        <w:spacing w:line="240" w:lineRule="auto"/>
        <w:ind w:firstLine="400"/>
        <w:rPr>
          <w:rFonts w:ascii="隶书" w:eastAsia="隶书"/>
          <w:spacing w:val="-60"/>
          <w:sz w:val="32"/>
          <w:szCs w:val="32"/>
        </w:rPr>
      </w:pPr>
    </w:p>
    <w:p w14:paraId="07353CAE">
      <w:pPr>
        <w:spacing w:line="240" w:lineRule="auto"/>
        <w:ind w:firstLine="0" w:firstLineChars="0"/>
        <w:jc w:val="center"/>
        <w:rPr>
          <w:rFonts w:ascii="黑体" w:hAnsi="楷体" w:eastAsia="黑体"/>
          <w:b/>
          <w:sz w:val="72"/>
          <w:szCs w:val="72"/>
        </w:rPr>
      </w:pPr>
      <w:r>
        <w:rPr>
          <w:rFonts w:hint="eastAsia" w:ascii="黑体" w:hAnsi="楷体" w:eastAsia="黑体"/>
          <w:b/>
          <w:sz w:val="72"/>
          <w:szCs w:val="72"/>
        </w:rPr>
        <w:t>“</w:t>
      </w:r>
      <w:r>
        <w:rPr>
          <w:rFonts w:hint="eastAsia" w:ascii="黑体" w:hAnsi="楷体" w:eastAsia="黑体"/>
          <w:b/>
          <w:sz w:val="72"/>
          <w:szCs w:val="72"/>
          <w:lang w:val="en-US" w:eastAsia="zh-CN"/>
        </w:rPr>
        <w:t>《智慧化税费与管理》</w:t>
      </w:r>
      <w:r>
        <w:rPr>
          <w:rFonts w:hint="eastAsia" w:ascii="黑体" w:hAnsi="楷体" w:eastAsia="黑体"/>
          <w:b/>
          <w:sz w:val="72"/>
          <w:szCs w:val="72"/>
        </w:rPr>
        <w:t>”</w:t>
      </w:r>
    </w:p>
    <w:p w14:paraId="0911A3F8">
      <w:pPr>
        <w:spacing w:line="240" w:lineRule="auto"/>
        <w:ind w:firstLine="0" w:firstLineChars="0"/>
        <w:jc w:val="center"/>
        <w:rPr>
          <w:rFonts w:ascii="黑体" w:hAnsi="楷体" w:eastAsia="黑体"/>
          <w:b/>
          <w:sz w:val="72"/>
          <w:szCs w:val="72"/>
        </w:rPr>
      </w:pPr>
      <w:bookmarkStart w:id="0" w:name="_GoBack"/>
      <w:bookmarkEnd w:id="0"/>
    </w:p>
    <w:p w14:paraId="2D4005FB">
      <w:pPr>
        <w:spacing w:line="240" w:lineRule="auto"/>
        <w:ind w:firstLine="0" w:firstLineChars="0"/>
        <w:jc w:val="center"/>
      </w:pPr>
      <w:r>
        <w:rPr>
          <w:rFonts w:hint="eastAsia" w:ascii="黑体" w:hAnsi="楷体" w:eastAsia="黑体"/>
          <w:b/>
          <w:sz w:val="72"/>
          <w:szCs w:val="72"/>
        </w:rPr>
        <w:t>课程标准</w:t>
      </w:r>
    </w:p>
    <w:p w14:paraId="6D756B3A">
      <w:pPr>
        <w:ind w:firstLine="560"/>
      </w:pPr>
    </w:p>
    <w:p w14:paraId="067C0EA2">
      <w:pPr>
        <w:ind w:firstLine="0" w:firstLineChars="0"/>
      </w:pPr>
    </w:p>
    <w:tbl>
      <w:tblPr>
        <w:tblStyle w:val="9"/>
        <w:tblpPr w:leftFromText="180" w:rightFromText="180" w:vertAnchor="text" w:horzAnchor="page" w:tblpX="1592" w:tblpY="282"/>
        <w:tblOverlap w:val="never"/>
        <w:tblW w:w="8516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1860"/>
        <w:gridCol w:w="2208"/>
        <w:gridCol w:w="1801"/>
        <w:gridCol w:w="2647"/>
      </w:tblGrid>
      <w:tr w14:paraId="01BDBC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042" w:hRule="atLeast"/>
        </w:trPr>
        <w:tc>
          <w:tcPr>
            <w:tcW w:w="1860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5CDB7D16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课程负责人</w:t>
            </w:r>
          </w:p>
          <w:p w14:paraId="554CF0BE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审核</w:t>
            </w:r>
          </w:p>
        </w:tc>
        <w:tc>
          <w:tcPr>
            <w:tcW w:w="2208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0F6F0402">
            <w:pPr>
              <w:widowControl/>
              <w:adjustRightInd w:val="0"/>
              <w:snapToGrid w:val="0"/>
              <w:ind w:firstLine="720" w:firstLineChars="30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 xml:space="preserve"> </w:t>
            </w:r>
          </w:p>
        </w:tc>
        <w:tc>
          <w:tcPr>
            <w:tcW w:w="1801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0566C4C2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教研组组长</w:t>
            </w:r>
          </w:p>
          <w:p w14:paraId="2706B198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审核</w:t>
            </w:r>
          </w:p>
        </w:tc>
        <w:tc>
          <w:tcPr>
            <w:tcW w:w="2647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5C3BD470">
            <w:pPr>
              <w:widowControl/>
              <w:adjustRightInd w:val="0"/>
              <w:snapToGrid w:val="0"/>
              <w:ind w:firstLine="960" w:firstLineChars="40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 xml:space="preserve"> </w:t>
            </w:r>
          </w:p>
        </w:tc>
      </w:tr>
      <w:tr w14:paraId="37A324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021" w:hRule="atLeast"/>
        </w:trPr>
        <w:tc>
          <w:tcPr>
            <w:tcW w:w="1860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5E24784E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教学单位</w:t>
            </w:r>
          </w:p>
          <w:p w14:paraId="5B4F088B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负责人审核</w:t>
            </w:r>
          </w:p>
        </w:tc>
        <w:tc>
          <w:tcPr>
            <w:tcW w:w="2208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5718909F">
            <w:pPr>
              <w:widowControl/>
              <w:adjustRightInd w:val="0"/>
              <w:snapToGrid w:val="0"/>
              <w:ind w:firstLine="720" w:firstLineChars="30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 xml:space="preserve"> </w:t>
            </w:r>
          </w:p>
        </w:tc>
        <w:tc>
          <w:tcPr>
            <w:tcW w:w="1801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35DE3254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教学管理部</w:t>
            </w:r>
          </w:p>
          <w:p w14:paraId="060F071C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负责人审核</w:t>
            </w:r>
          </w:p>
        </w:tc>
        <w:tc>
          <w:tcPr>
            <w:tcW w:w="2647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7B10687A">
            <w:pPr>
              <w:widowControl/>
              <w:adjustRightInd w:val="0"/>
              <w:snapToGrid w:val="0"/>
              <w:ind w:firstLine="960" w:firstLineChars="40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 xml:space="preserve"> </w:t>
            </w:r>
          </w:p>
        </w:tc>
      </w:tr>
    </w:tbl>
    <w:p w14:paraId="679652D1">
      <w:pPr>
        <w:ind w:firstLine="0" w:firstLineChars="0"/>
      </w:pPr>
    </w:p>
    <w:p w14:paraId="5728FC9F">
      <w:pPr>
        <w:snapToGrid w:val="0"/>
        <w:spacing w:line="360" w:lineRule="auto"/>
        <w:ind w:firstLine="720"/>
        <w:jc w:val="center"/>
        <w:rPr>
          <w:rFonts w:ascii="宋体" w:hAnsi="宋体" w:cs="宋体"/>
          <w:b/>
          <w:bCs/>
          <w:kern w:val="36"/>
          <w:sz w:val="36"/>
          <w:szCs w:val="36"/>
        </w:rPr>
      </w:pPr>
    </w:p>
    <w:p w14:paraId="0D335F76">
      <w:pPr>
        <w:snapToGrid w:val="0"/>
        <w:spacing w:line="360" w:lineRule="auto"/>
        <w:ind w:firstLine="720"/>
        <w:jc w:val="center"/>
        <w:rPr>
          <w:b/>
          <w:bCs/>
          <w:kern w:val="36"/>
          <w:sz w:val="36"/>
          <w:szCs w:val="36"/>
        </w:rPr>
        <w:sectPr>
          <w:headerReference r:id="rId7" w:type="first"/>
          <w:footerReference r:id="rId10" w:type="first"/>
          <w:headerReference r:id="rId5" w:type="default"/>
          <w:footerReference r:id="rId8" w:type="default"/>
          <w:headerReference r:id="rId6" w:type="even"/>
          <w:footerReference r:id="rId9" w:type="even"/>
          <w:pgSz w:w="11906" w:h="16838"/>
          <w:pgMar w:top="1440" w:right="1800" w:bottom="1440" w:left="1800" w:header="851" w:footer="992" w:gutter="0"/>
          <w:pgNumType w:start="1"/>
          <w:cols w:space="425" w:num="1"/>
          <w:docGrid w:type="lines" w:linePitch="312" w:charSpace="0"/>
        </w:sectPr>
      </w:pPr>
      <w:r>
        <w:rPr>
          <w:kern w:val="36"/>
          <w:sz w:val="36"/>
          <w:szCs w:val="36"/>
        </w:rPr>
        <w:t>202</w:t>
      </w:r>
      <w:r>
        <w:rPr>
          <w:rFonts w:hint="eastAsia"/>
          <w:kern w:val="36"/>
          <w:sz w:val="36"/>
          <w:szCs w:val="36"/>
        </w:rPr>
        <w:t>4</w:t>
      </w:r>
      <w:r>
        <w:rPr>
          <w:b/>
          <w:bCs/>
          <w:kern w:val="36"/>
          <w:sz w:val="36"/>
          <w:szCs w:val="36"/>
        </w:rPr>
        <w:t>年</w:t>
      </w:r>
      <w:r>
        <w:rPr>
          <w:rFonts w:hint="eastAsia"/>
          <w:b/>
          <w:bCs/>
          <w:kern w:val="36"/>
          <w:sz w:val="36"/>
          <w:szCs w:val="36"/>
          <w:lang w:val="en-US" w:eastAsia="zh-CN"/>
        </w:rPr>
        <w:t>8</w:t>
      </w:r>
      <w:r>
        <w:rPr>
          <w:b/>
          <w:bCs/>
          <w:kern w:val="36"/>
          <w:sz w:val="36"/>
          <w:szCs w:val="36"/>
        </w:rPr>
        <w:t>月</w:t>
      </w:r>
    </w:p>
    <w:p w14:paraId="46B45F0E">
      <w:pPr>
        <w:snapToGrid w:val="0"/>
        <w:spacing w:line="360" w:lineRule="auto"/>
        <w:ind w:firstLine="0" w:firstLineChars="0"/>
        <w:rPr>
          <w:b/>
          <w:bCs/>
          <w:kern w:val="36"/>
          <w:sz w:val="36"/>
          <w:szCs w:val="36"/>
        </w:rPr>
      </w:pPr>
    </w:p>
    <w:p w14:paraId="20622334">
      <w:pPr>
        <w:spacing w:line="240" w:lineRule="auto"/>
        <w:ind w:firstLine="0" w:firstLineChars="0"/>
        <w:jc w:val="center"/>
        <w:rPr>
          <w:rFonts w:ascii="宋体" w:hAnsi="宋体" w:eastAsia="宋体"/>
          <w:sz w:val="21"/>
        </w:rPr>
      </w:pPr>
    </w:p>
    <w:p w14:paraId="564DE767">
      <w:pPr>
        <w:spacing w:line="240" w:lineRule="auto"/>
        <w:ind w:firstLine="0" w:firstLineChars="0"/>
        <w:jc w:val="center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目  录</w:t>
      </w:r>
    </w:p>
    <w:p w14:paraId="21E76656">
      <w:pPr>
        <w:pStyle w:val="7"/>
        <w:tabs>
          <w:tab w:val="right" w:leader="middleDot" w:pos="8306"/>
        </w:tabs>
        <w:spacing w:line="520" w:lineRule="exact"/>
        <w:ind w:firstLine="561" w:firstLineChars="266"/>
      </w:pPr>
      <w:r>
        <w:rPr>
          <w:rFonts w:hint="eastAsia" w:ascii="宋体" w:hAnsi="宋体" w:eastAsia="宋体" w:cs="宋体"/>
          <w:kern w:val="36"/>
          <w:sz w:val="21"/>
          <w:szCs w:val="36"/>
        </w:rPr>
        <w:fldChar w:fldCharType="begin"/>
      </w:r>
      <w:r>
        <w:rPr>
          <w:rFonts w:hint="eastAsia" w:ascii="宋体" w:hAnsi="宋体" w:eastAsia="宋体" w:cs="宋体"/>
          <w:kern w:val="36"/>
          <w:sz w:val="21"/>
          <w:szCs w:val="36"/>
        </w:rPr>
        <w:instrText xml:space="preserve">TOC \o "1-3" \h \u </w:instrText>
      </w:r>
      <w:r>
        <w:rPr>
          <w:rFonts w:hint="eastAsia" w:ascii="宋体" w:hAnsi="宋体" w:eastAsia="宋体" w:cs="宋体"/>
          <w:kern w:val="36"/>
          <w:sz w:val="21"/>
          <w:szCs w:val="36"/>
        </w:rPr>
        <w:fldChar w:fldCharType="separate"/>
      </w:r>
      <w:r>
        <w:fldChar w:fldCharType="begin"/>
      </w:r>
      <w:r>
        <w:instrText xml:space="preserve"> HYPERLINK \l "_Toc2179" </w:instrText>
      </w:r>
      <w:r>
        <w:fldChar w:fldCharType="separate"/>
      </w:r>
      <w:r>
        <w:rPr>
          <w:rFonts w:hint="eastAsia"/>
        </w:rPr>
        <w:t>一、课程基本信息</w:t>
      </w:r>
      <w:r>
        <w:tab/>
      </w:r>
      <w:r>
        <w:fldChar w:fldCharType="begin"/>
      </w:r>
      <w:r>
        <w:instrText xml:space="preserve"> PAGEREF _Toc2179 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 w14:paraId="5D18144F">
      <w:pPr>
        <w:pStyle w:val="7"/>
        <w:tabs>
          <w:tab w:val="right" w:leader="middleDot" w:pos="8306"/>
        </w:tabs>
        <w:spacing w:line="520" w:lineRule="exact"/>
        <w:ind w:firstLine="560"/>
      </w:pPr>
      <w:r>
        <w:fldChar w:fldCharType="begin"/>
      </w:r>
      <w:r>
        <w:instrText xml:space="preserve"> HYPERLINK \l "_Toc4255" </w:instrText>
      </w:r>
      <w:r>
        <w:fldChar w:fldCharType="separate"/>
      </w:r>
      <w:r>
        <w:rPr>
          <w:rFonts w:hint="eastAsia"/>
        </w:rPr>
        <w:t>二、课程任务</w:t>
      </w:r>
      <w:r>
        <w:tab/>
      </w:r>
      <w:r>
        <w:fldChar w:fldCharType="begin"/>
      </w:r>
      <w:r>
        <w:instrText xml:space="preserve"> PAGEREF _Toc4255 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 w14:paraId="556A9505">
      <w:pPr>
        <w:pStyle w:val="7"/>
        <w:tabs>
          <w:tab w:val="right" w:leader="middleDot" w:pos="8306"/>
        </w:tabs>
        <w:spacing w:line="520" w:lineRule="exact"/>
        <w:ind w:firstLine="560"/>
      </w:pPr>
      <w:r>
        <w:fldChar w:fldCharType="begin"/>
      </w:r>
      <w:r>
        <w:instrText xml:space="preserve"> HYPERLINK \l "_Toc1651" </w:instrText>
      </w:r>
      <w:r>
        <w:fldChar w:fldCharType="separate"/>
      </w:r>
      <w:r>
        <w:rPr>
          <w:rFonts w:hint="eastAsia"/>
        </w:rPr>
        <w:t>三、课程目标</w:t>
      </w:r>
      <w:r>
        <w:tab/>
      </w:r>
      <w:r>
        <w:fldChar w:fldCharType="begin"/>
      </w:r>
      <w:r>
        <w:instrText xml:space="preserve"> PAGEREF _Toc1651 </w:instrText>
      </w:r>
      <w:r>
        <w:fldChar w:fldCharType="separate"/>
      </w:r>
      <w:r>
        <w:t>2</w:t>
      </w:r>
      <w:r>
        <w:fldChar w:fldCharType="end"/>
      </w:r>
      <w:r>
        <w:fldChar w:fldCharType="end"/>
      </w:r>
    </w:p>
    <w:p w14:paraId="001660ED">
      <w:pPr>
        <w:pStyle w:val="8"/>
        <w:tabs>
          <w:tab w:val="right" w:leader="middleDot" w:pos="8306"/>
        </w:tabs>
        <w:spacing w:line="520" w:lineRule="exact"/>
        <w:ind w:firstLine="480"/>
      </w:pPr>
      <w:r>
        <w:fldChar w:fldCharType="begin"/>
      </w:r>
      <w:r>
        <w:instrText xml:space="preserve"> HYPERLINK \l "_Toc1453" </w:instrText>
      </w:r>
      <w:r>
        <w:fldChar w:fldCharType="separate"/>
      </w:r>
      <w:r>
        <w:rPr>
          <w:rFonts w:hint="eastAsia"/>
        </w:rPr>
        <w:t>（一） 素质目标</w:t>
      </w:r>
      <w:r>
        <w:tab/>
      </w:r>
      <w:r>
        <w:fldChar w:fldCharType="begin"/>
      </w:r>
      <w:r>
        <w:instrText xml:space="preserve"> PAGEREF _Toc1453 </w:instrText>
      </w:r>
      <w:r>
        <w:fldChar w:fldCharType="separate"/>
      </w:r>
      <w:r>
        <w:t>2</w:t>
      </w:r>
      <w:r>
        <w:fldChar w:fldCharType="end"/>
      </w:r>
      <w:r>
        <w:fldChar w:fldCharType="end"/>
      </w:r>
    </w:p>
    <w:p w14:paraId="4F003D47">
      <w:pPr>
        <w:pStyle w:val="8"/>
        <w:tabs>
          <w:tab w:val="right" w:leader="middleDot" w:pos="8306"/>
        </w:tabs>
        <w:spacing w:line="520" w:lineRule="exact"/>
        <w:ind w:firstLine="480"/>
      </w:pPr>
      <w:r>
        <w:fldChar w:fldCharType="begin"/>
      </w:r>
      <w:r>
        <w:instrText xml:space="preserve"> HYPERLINK \l "_Toc1104" </w:instrText>
      </w:r>
      <w:r>
        <w:fldChar w:fldCharType="separate"/>
      </w:r>
      <w:r>
        <w:rPr>
          <w:rFonts w:hint="eastAsia"/>
        </w:rPr>
        <w:t>（二） 知识目标</w:t>
      </w:r>
      <w:r>
        <w:tab/>
      </w:r>
      <w:r>
        <w:fldChar w:fldCharType="begin"/>
      </w:r>
      <w:r>
        <w:instrText xml:space="preserve"> PAGEREF _Toc1104 </w:instrText>
      </w:r>
      <w:r>
        <w:fldChar w:fldCharType="separate"/>
      </w:r>
      <w:r>
        <w:t>2</w:t>
      </w:r>
      <w:r>
        <w:fldChar w:fldCharType="end"/>
      </w:r>
      <w:r>
        <w:fldChar w:fldCharType="end"/>
      </w:r>
    </w:p>
    <w:p w14:paraId="4457503D">
      <w:pPr>
        <w:pStyle w:val="8"/>
        <w:tabs>
          <w:tab w:val="right" w:leader="middleDot" w:pos="8306"/>
        </w:tabs>
        <w:spacing w:line="520" w:lineRule="exact"/>
        <w:ind w:firstLine="480"/>
      </w:pPr>
      <w:r>
        <w:fldChar w:fldCharType="begin"/>
      </w:r>
      <w:r>
        <w:instrText xml:space="preserve"> HYPERLINK \l "_Toc30755" </w:instrText>
      </w:r>
      <w:r>
        <w:fldChar w:fldCharType="separate"/>
      </w:r>
      <w:r>
        <w:rPr>
          <w:rFonts w:hint="eastAsia"/>
        </w:rPr>
        <w:t>（三） 能力目标</w:t>
      </w:r>
      <w:r>
        <w:tab/>
      </w:r>
      <w:r>
        <w:fldChar w:fldCharType="begin"/>
      </w:r>
      <w:r>
        <w:instrText xml:space="preserve"> PAGEREF _Toc30755 </w:instrText>
      </w:r>
      <w:r>
        <w:fldChar w:fldCharType="separate"/>
      </w:r>
      <w:r>
        <w:t>2</w:t>
      </w:r>
      <w:r>
        <w:fldChar w:fldCharType="end"/>
      </w:r>
      <w:r>
        <w:fldChar w:fldCharType="end"/>
      </w:r>
    </w:p>
    <w:p w14:paraId="72E622E8">
      <w:pPr>
        <w:pStyle w:val="7"/>
        <w:tabs>
          <w:tab w:val="right" w:leader="middleDot" w:pos="8306"/>
        </w:tabs>
        <w:spacing w:line="520" w:lineRule="exact"/>
        <w:ind w:firstLine="560"/>
      </w:pPr>
      <w:r>
        <w:fldChar w:fldCharType="begin"/>
      </w:r>
      <w:r>
        <w:instrText xml:space="preserve"> HYPERLINK \l "_Toc24423" </w:instrText>
      </w:r>
      <w:r>
        <w:fldChar w:fldCharType="separate"/>
      </w:r>
      <w:r>
        <w:rPr>
          <w:rFonts w:hint="eastAsia"/>
        </w:rPr>
        <w:t>四、课程职业能力分析</w:t>
      </w:r>
      <w:r>
        <w:tab/>
      </w:r>
      <w:r>
        <w:fldChar w:fldCharType="begin"/>
      </w:r>
      <w:r>
        <w:instrText xml:space="preserve"> PAGEREF _Toc24423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 w14:paraId="39B95891">
      <w:pPr>
        <w:pStyle w:val="7"/>
        <w:tabs>
          <w:tab w:val="right" w:leader="middleDot" w:pos="8306"/>
        </w:tabs>
        <w:spacing w:line="520" w:lineRule="exact"/>
        <w:ind w:firstLine="560"/>
      </w:pPr>
      <w:r>
        <w:fldChar w:fldCharType="begin"/>
      </w:r>
      <w:r>
        <w:instrText xml:space="preserve"> HYPERLINK \l "_Toc27541" </w:instrText>
      </w:r>
      <w:r>
        <w:fldChar w:fldCharType="separate"/>
      </w:r>
      <w:r>
        <w:rPr>
          <w:rFonts w:hint="eastAsia"/>
        </w:rPr>
        <w:t>五、课程设计思路</w:t>
      </w:r>
      <w:r>
        <w:tab/>
      </w:r>
      <w:r>
        <w:fldChar w:fldCharType="begin"/>
      </w:r>
      <w:r>
        <w:instrText xml:space="preserve"> PAGEREF _Toc27541 </w:instrText>
      </w:r>
      <w:r>
        <w:fldChar w:fldCharType="separate"/>
      </w:r>
      <w:r>
        <w:t>6</w:t>
      </w:r>
      <w:r>
        <w:fldChar w:fldCharType="end"/>
      </w:r>
      <w:r>
        <w:fldChar w:fldCharType="end"/>
      </w:r>
    </w:p>
    <w:p w14:paraId="1DF23C5E">
      <w:pPr>
        <w:pStyle w:val="7"/>
        <w:tabs>
          <w:tab w:val="right" w:leader="middleDot" w:pos="8306"/>
        </w:tabs>
        <w:spacing w:line="520" w:lineRule="exact"/>
        <w:ind w:firstLine="560"/>
      </w:pPr>
      <w:r>
        <w:fldChar w:fldCharType="begin"/>
      </w:r>
      <w:r>
        <w:instrText xml:space="preserve"> HYPERLINK \l "_Toc8844" </w:instrText>
      </w:r>
      <w:r>
        <w:fldChar w:fldCharType="separate"/>
      </w:r>
      <w:r>
        <w:rPr>
          <w:rFonts w:hint="eastAsia"/>
        </w:rPr>
        <w:t>六、课程结构与内容</w:t>
      </w:r>
      <w:r>
        <w:tab/>
      </w:r>
      <w:r>
        <w:fldChar w:fldCharType="begin"/>
      </w:r>
      <w:r>
        <w:instrText xml:space="preserve"> PAGEREF _Toc8844 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 w14:paraId="6298781E">
      <w:pPr>
        <w:pStyle w:val="7"/>
        <w:tabs>
          <w:tab w:val="right" w:leader="middleDot" w:pos="8306"/>
        </w:tabs>
        <w:spacing w:line="520" w:lineRule="exact"/>
        <w:ind w:firstLine="560"/>
      </w:pPr>
      <w:r>
        <w:fldChar w:fldCharType="begin"/>
      </w:r>
      <w:r>
        <w:instrText xml:space="preserve"> HYPERLINK \l "_Toc18126" </w:instrText>
      </w:r>
      <w:r>
        <w:fldChar w:fldCharType="separate"/>
      </w:r>
      <w:r>
        <w:rPr>
          <w:rFonts w:hint="eastAsia"/>
        </w:rPr>
        <w:t>七、学习评价</w:t>
      </w:r>
      <w:r>
        <w:tab/>
      </w:r>
      <w:r>
        <w:fldChar w:fldCharType="begin"/>
      </w:r>
      <w:r>
        <w:instrText xml:space="preserve"> PAGEREF _Toc18126 </w:instrText>
      </w:r>
      <w:r>
        <w:fldChar w:fldCharType="separate"/>
      </w:r>
      <w:r>
        <w:t>8</w:t>
      </w:r>
      <w:r>
        <w:fldChar w:fldCharType="end"/>
      </w:r>
      <w:r>
        <w:fldChar w:fldCharType="end"/>
      </w:r>
    </w:p>
    <w:p w14:paraId="34C0AB94">
      <w:pPr>
        <w:pStyle w:val="7"/>
        <w:tabs>
          <w:tab w:val="right" w:leader="middleDot" w:pos="8306"/>
        </w:tabs>
        <w:spacing w:line="520" w:lineRule="exact"/>
        <w:ind w:firstLine="560"/>
      </w:pPr>
      <w:r>
        <w:fldChar w:fldCharType="begin"/>
      </w:r>
      <w:r>
        <w:instrText xml:space="preserve"> HYPERLINK \l "_Toc11140" </w:instrText>
      </w:r>
      <w:r>
        <w:fldChar w:fldCharType="separate"/>
      </w:r>
      <w:r>
        <w:rPr>
          <w:rFonts w:hint="eastAsia"/>
        </w:rPr>
        <w:t>八、教学资源</w:t>
      </w:r>
      <w:r>
        <w:tab/>
      </w:r>
      <w:r>
        <w:fldChar w:fldCharType="begin"/>
      </w:r>
      <w:r>
        <w:instrText xml:space="preserve"> PAGEREF _Toc11140 </w:instrText>
      </w:r>
      <w:r>
        <w:fldChar w:fldCharType="separate"/>
      </w:r>
      <w:r>
        <w:t>9</w:t>
      </w:r>
      <w:r>
        <w:fldChar w:fldCharType="end"/>
      </w:r>
      <w:r>
        <w:fldChar w:fldCharType="end"/>
      </w:r>
    </w:p>
    <w:p w14:paraId="6E1747C5">
      <w:pPr>
        <w:pStyle w:val="8"/>
        <w:tabs>
          <w:tab w:val="right" w:leader="middleDot" w:pos="8306"/>
        </w:tabs>
        <w:spacing w:line="520" w:lineRule="exact"/>
        <w:ind w:firstLine="480"/>
      </w:pPr>
      <w:r>
        <w:fldChar w:fldCharType="begin"/>
      </w:r>
      <w:r>
        <w:instrText xml:space="preserve"> HYPERLINK \l "_Toc16925" </w:instrText>
      </w:r>
      <w:r>
        <w:fldChar w:fldCharType="separate"/>
      </w:r>
      <w:r>
        <w:rPr>
          <w:rFonts w:hint="eastAsia"/>
        </w:rPr>
        <w:t>（一）主要参考教材</w:t>
      </w:r>
      <w:r>
        <w:tab/>
      </w:r>
      <w:r>
        <w:fldChar w:fldCharType="begin"/>
      </w:r>
      <w:r>
        <w:instrText xml:space="preserve"> PAGEREF _Toc16925 </w:instrText>
      </w:r>
      <w:r>
        <w:fldChar w:fldCharType="separate"/>
      </w:r>
      <w:r>
        <w:t>9</w:t>
      </w:r>
      <w:r>
        <w:fldChar w:fldCharType="end"/>
      </w:r>
      <w:r>
        <w:fldChar w:fldCharType="end"/>
      </w:r>
    </w:p>
    <w:p w14:paraId="4DFB64CE">
      <w:pPr>
        <w:pStyle w:val="8"/>
        <w:tabs>
          <w:tab w:val="right" w:leader="middleDot" w:pos="8306"/>
        </w:tabs>
        <w:spacing w:line="520" w:lineRule="exact"/>
        <w:ind w:firstLine="480"/>
      </w:pPr>
      <w:r>
        <w:fldChar w:fldCharType="begin"/>
      </w:r>
      <w:r>
        <w:instrText xml:space="preserve"> HYPERLINK \l "_Toc17555" </w:instrText>
      </w:r>
      <w:r>
        <w:fldChar w:fldCharType="separate"/>
      </w:r>
      <w:r>
        <w:rPr>
          <w:rFonts w:hint="eastAsia"/>
        </w:rPr>
        <w:t>（二）其他参考资料</w:t>
      </w:r>
      <w:r>
        <w:tab/>
      </w:r>
      <w:r>
        <w:fldChar w:fldCharType="begin"/>
      </w:r>
      <w:r>
        <w:instrText xml:space="preserve"> PAGEREF _Toc17555 </w:instrText>
      </w:r>
      <w:r>
        <w:fldChar w:fldCharType="separate"/>
      </w:r>
      <w:r>
        <w:t>9</w:t>
      </w:r>
      <w:r>
        <w:fldChar w:fldCharType="end"/>
      </w:r>
      <w:r>
        <w:fldChar w:fldCharType="end"/>
      </w:r>
    </w:p>
    <w:p w14:paraId="3265CC93">
      <w:pPr>
        <w:pStyle w:val="8"/>
        <w:tabs>
          <w:tab w:val="right" w:leader="middleDot" w:pos="8306"/>
        </w:tabs>
        <w:spacing w:line="520" w:lineRule="exact"/>
        <w:ind w:firstLine="480"/>
      </w:pPr>
      <w:r>
        <w:fldChar w:fldCharType="begin"/>
      </w:r>
      <w:r>
        <w:instrText xml:space="preserve"> HYPERLINK \l "_Toc27934" </w:instrText>
      </w:r>
      <w:r>
        <w:fldChar w:fldCharType="separate"/>
      </w:r>
      <w:r>
        <w:rPr>
          <w:rFonts w:hint="eastAsia"/>
        </w:rPr>
        <w:t>（三）实训条件</w:t>
      </w:r>
      <w:r>
        <w:tab/>
      </w:r>
      <w:r>
        <w:fldChar w:fldCharType="begin"/>
      </w:r>
      <w:r>
        <w:instrText xml:space="preserve"> PAGEREF _Toc27934 </w:instrText>
      </w:r>
      <w:r>
        <w:fldChar w:fldCharType="separate"/>
      </w:r>
      <w:r>
        <w:t>10</w:t>
      </w:r>
      <w:r>
        <w:fldChar w:fldCharType="end"/>
      </w:r>
      <w:r>
        <w:fldChar w:fldCharType="end"/>
      </w:r>
    </w:p>
    <w:p w14:paraId="23B882E6">
      <w:pPr>
        <w:pStyle w:val="8"/>
        <w:tabs>
          <w:tab w:val="right" w:leader="middleDot" w:pos="8306"/>
        </w:tabs>
        <w:spacing w:line="520" w:lineRule="exact"/>
        <w:ind w:firstLine="480"/>
      </w:pPr>
      <w:r>
        <w:fldChar w:fldCharType="begin"/>
      </w:r>
      <w:r>
        <w:instrText xml:space="preserve"> HYPERLINK \l "_Toc7079" </w:instrText>
      </w:r>
      <w:r>
        <w:fldChar w:fldCharType="separate"/>
      </w:r>
      <w:r>
        <w:rPr>
          <w:rFonts w:hint="eastAsia"/>
        </w:rPr>
        <w:t>（四）信息化教学资源</w:t>
      </w:r>
      <w:r>
        <w:tab/>
      </w:r>
      <w:r>
        <w:fldChar w:fldCharType="begin"/>
      </w:r>
      <w:r>
        <w:instrText xml:space="preserve"> PAGEREF _Toc7079 </w:instrText>
      </w:r>
      <w:r>
        <w:fldChar w:fldCharType="separate"/>
      </w:r>
      <w:r>
        <w:t>10</w:t>
      </w:r>
      <w:r>
        <w:fldChar w:fldCharType="end"/>
      </w:r>
      <w:r>
        <w:fldChar w:fldCharType="end"/>
      </w:r>
    </w:p>
    <w:p w14:paraId="1159A52E">
      <w:pPr>
        <w:pStyle w:val="7"/>
        <w:tabs>
          <w:tab w:val="right" w:leader="middleDot" w:pos="8306"/>
        </w:tabs>
        <w:spacing w:line="520" w:lineRule="exact"/>
        <w:ind w:firstLine="560"/>
      </w:pPr>
      <w:r>
        <w:fldChar w:fldCharType="begin"/>
      </w:r>
      <w:r>
        <w:instrText xml:space="preserve"> HYPERLINK \l "_Toc12227" </w:instrText>
      </w:r>
      <w:r>
        <w:fldChar w:fldCharType="separate"/>
      </w:r>
      <w:r>
        <w:rPr>
          <w:rFonts w:hint="eastAsia"/>
        </w:rPr>
        <w:t>九、师资要求</w:t>
      </w:r>
      <w:r>
        <w:tab/>
      </w:r>
      <w:r>
        <w:fldChar w:fldCharType="begin"/>
      </w:r>
      <w:r>
        <w:instrText xml:space="preserve"> PAGEREF _Toc12227 </w:instrText>
      </w:r>
      <w:r>
        <w:fldChar w:fldCharType="separate"/>
      </w:r>
      <w:r>
        <w:t>10</w:t>
      </w:r>
      <w:r>
        <w:fldChar w:fldCharType="end"/>
      </w:r>
      <w:r>
        <w:fldChar w:fldCharType="end"/>
      </w:r>
    </w:p>
    <w:p w14:paraId="57D5CC2B">
      <w:pPr>
        <w:pStyle w:val="7"/>
        <w:tabs>
          <w:tab w:val="right" w:leader="middleDot" w:pos="8306"/>
        </w:tabs>
        <w:spacing w:line="520" w:lineRule="exact"/>
        <w:ind w:firstLine="560"/>
      </w:pPr>
      <w:r>
        <w:fldChar w:fldCharType="begin"/>
      </w:r>
      <w:r>
        <w:instrText xml:space="preserve"> HYPERLINK \l "_Toc3001" </w:instrText>
      </w:r>
      <w:r>
        <w:fldChar w:fldCharType="separate"/>
      </w:r>
      <w:r>
        <w:rPr>
          <w:rFonts w:hint="eastAsia"/>
        </w:rPr>
        <w:t>十、其它说明</w:t>
      </w:r>
      <w:r>
        <w:tab/>
      </w:r>
      <w:r>
        <w:fldChar w:fldCharType="begin"/>
      </w:r>
      <w:r>
        <w:instrText xml:space="preserve"> PAGEREF _Toc3001 </w:instrText>
      </w:r>
      <w:r>
        <w:fldChar w:fldCharType="separate"/>
      </w:r>
      <w:r>
        <w:t>10</w:t>
      </w:r>
      <w:r>
        <w:fldChar w:fldCharType="end"/>
      </w:r>
      <w:r>
        <w:fldChar w:fldCharType="end"/>
      </w:r>
    </w:p>
    <w:p w14:paraId="05520695">
      <w:pPr>
        <w:rPr>
          <w:rFonts w:hint="eastAsia" w:ascii="宋体" w:hAnsi="宋体" w:eastAsia="宋体" w:cs="宋体"/>
          <w:bCs/>
          <w:kern w:val="36"/>
          <w:szCs w:val="36"/>
        </w:rPr>
      </w:pPr>
      <w:r>
        <w:rPr>
          <w:rFonts w:hint="eastAsia" w:ascii="宋体" w:hAnsi="宋体" w:eastAsia="宋体" w:cs="宋体"/>
          <w:bCs/>
          <w:kern w:val="36"/>
          <w:szCs w:val="36"/>
        </w:rPr>
        <w:fldChar w:fldCharType="end"/>
      </w:r>
    </w:p>
    <w:p w14:paraId="3CCF387B">
      <w:pPr>
        <w:ind w:left="0" w:leftChars="0" w:firstLine="0" w:firstLineChars="0"/>
        <w:rPr>
          <w:rFonts w:hint="eastAsia" w:ascii="宋体" w:hAnsi="宋体" w:eastAsia="宋体" w:cs="宋体"/>
          <w:bCs/>
          <w:kern w:val="36"/>
          <w:szCs w:val="36"/>
        </w:rPr>
      </w:pPr>
    </w:p>
    <w:p w14:paraId="6D97CBE3">
      <w:pPr>
        <w:pStyle w:val="2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一、课程基本信息</w:t>
      </w:r>
    </w:p>
    <w:p w14:paraId="189BA0DF">
      <w:pPr>
        <w:pStyle w:val="11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表 1 课程基本信息表</w:t>
      </w:r>
    </w:p>
    <w:p w14:paraId="23CB55F8">
      <w:pPr>
        <w:pStyle w:val="11"/>
        <w:rPr>
          <w:color w:val="000000" w:themeColor="text1"/>
          <w14:textFill>
            <w14:solidFill>
              <w14:schemeClr w14:val="tx1"/>
            </w14:solidFill>
          </w14:textFill>
        </w:rPr>
      </w:pPr>
    </w:p>
    <w:tbl>
      <w:tblPr>
        <w:tblStyle w:val="9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2026"/>
        <w:gridCol w:w="2096"/>
        <w:gridCol w:w="2026"/>
        <w:gridCol w:w="2398"/>
      </w:tblGrid>
      <w:tr w14:paraId="109290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6BD63EE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课程名称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4268DF8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智慧化税费与管理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6E9EC30F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课程代码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AC3E109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SWGL012411</w:t>
            </w:r>
          </w:p>
        </w:tc>
      </w:tr>
      <w:tr w14:paraId="6D21ED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ECBF12F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课程类别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56D6E67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专业课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FD8B5F9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课程性质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B068C79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必修</w:t>
            </w:r>
          </w:p>
        </w:tc>
      </w:tr>
      <w:tr w14:paraId="1A1653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234B73A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学时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CBDB009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64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750C6AF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学分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1018446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</w:tr>
      <w:tr w14:paraId="74EA8E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4777C99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是否专业核心课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423D594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是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2F0BA9BC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授课学期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E541BE1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第二学年第一学期</w:t>
            </w:r>
          </w:p>
        </w:tc>
      </w:tr>
      <w:tr w14:paraId="07D590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479D2AC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授课专业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DCA0A59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大数据与会计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09CAD26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前置课程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210F84E3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企业财务会计、经济法基础、税法基础</w:t>
            </w:r>
          </w:p>
        </w:tc>
      </w:tr>
      <w:tr w14:paraId="068D6B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7E0F9EF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后续课程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DFFEC5C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智能审计、企业内部控制、财务大数据分析（税务方向）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E637A1E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适用对象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620EB62E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大数据与会计专业高职学生</w:t>
            </w:r>
          </w:p>
        </w:tc>
      </w:tr>
    </w:tbl>
    <w:p w14:paraId="490FB95B">
      <w:pPr>
        <w:pStyle w:val="2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二、课程任务</w:t>
      </w:r>
    </w:p>
    <w:p w14:paraId="1066F609">
      <w:pPr>
        <w:pStyle w:val="11"/>
        <w:ind w:firstLine="440" w:firstLineChars="200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《智慧化税费与管理》是大数据与会计专业的核心专业课，全面贯彻党的教育方针，落实立德树人根本任务。课程紧密对接 2025 版财务会计类专业教学标准与金税四期征管体系要求，以 “智慧化工具为载体、税费合规为核心、风险管控为导向”，培养学生在数字化征管背景下的税费核算、智能申报、税务筹划及风险识别能力，助力学生树立 “依法纳税、诚信执业” 的税务职业价值观，达成大数据与会计专业 “懂税费、会操作、善筹划、能风控” 的应用型高技能人才培养目标。</w:t>
      </w:r>
    </w:p>
    <w:p w14:paraId="217431E5">
      <w:pPr>
        <w:pStyle w:val="11"/>
        <w:ind w:firstLine="440" w:firstLineChars="200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通过本课程教学，学生需掌握增值税、企业所得税等核心税种的智慧化处理流程，熟练运用金税四期模拟系统、智能财税平台（如用友税务云、航信爱信诺）完成税费计算、申报缴款及数据溯源，具备识别税务风险（如发票异常、申报偏差）、设计简易税务筹划方案的能力，同时能结合《税收征管法》《数据安全法》规范税费数据处理，为后续学习智能审计、企业内部控制等课程奠定税务管理基础，满足企事业单位税务会计岗、智能财税岗及会计师事务所税务助理岗的岗位能力需求，实现从校园学习到职场税务实践的无缝衔接。</w:t>
      </w:r>
    </w:p>
    <w:p w14:paraId="1D1FB759">
      <w:pPr>
        <w:pStyle w:val="2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三、课程目标</w:t>
      </w:r>
    </w:p>
    <w:p w14:paraId="7FAE7652">
      <w:pPr>
        <w:pStyle w:val="11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完成本课程学习后，学生应在素质、知识和能力方面达到以下要求：</w:t>
      </w:r>
    </w:p>
    <w:p w14:paraId="41EA63AA">
      <w:pPr>
        <w:pStyle w:val="3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（一）素质目标</w:t>
      </w:r>
    </w:p>
    <w:p w14:paraId="2BF396AE">
      <w:pPr>
        <w:pStyle w:val="11"/>
        <w:numPr>
          <w:ilvl w:val="0"/>
          <w:numId w:val="1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培养诚信纳税的职业操守，树立 “依法计税、合规申报” 的税务价值观，杜绝偷税、漏税、虚开发票等违法行为。</w:t>
      </w:r>
    </w:p>
    <w:p w14:paraId="38C37DC8">
      <w:pPr>
        <w:pStyle w:val="11"/>
        <w:numPr>
          <w:ilvl w:val="0"/>
          <w:numId w:val="1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强化严谨细致的工作作风，在税费计算、发票审核、申报数据录入等环节做到精准无误，培养对税务数据的敏感性和责任意识。</w:t>
      </w:r>
    </w:p>
    <w:p w14:paraId="11C1E254">
      <w:pPr>
        <w:pStyle w:val="11"/>
        <w:numPr>
          <w:ilvl w:val="0"/>
          <w:numId w:val="1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树立税费数据安全意识，理解《数据安全法》《税收征管法》对税务数据（如企业纳税信息、个人个税数据）的保护要求，养成规范存储、传输税务数据的习惯。</w:t>
      </w:r>
    </w:p>
    <w:p w14:paraId="3DC9CBA8">
      <w:pPr>
        <w:pStyle w:val="11"/>
        <w:numPr>
          <w:ilvl w:val="0"/>
          <w:numId w:val="1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提升团队协作与沟通能力，通过小组税务筹划项目培养分工协作、成果共享的团队精神，能清晰汇报税务处理方案。</w:t>
      </w:r>
    </w:p>
    <w:p w14:paraId="18E2FA93">
      <w:pPr>
        <w:pStyle w:val="11"/>
        <w:numPr>
          <w:ilvl w:val="0"/>
          <w:numId w:val="1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激发创新思维，探索智能财税工具在税费管理中的创新应用（如自动化申报、风险预警），适应税务数字化转型趋势。</w:t>
      </w:r>
    </w:p>
    <w:p w14:paraId="2F021FA7">
      <w:pPr>
        <w:pStyle w:val="11"/>
        <w:numPr>
          <w:ilvl w:val="0"/>
          <w:numId w:val="1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培养终身学习意识，关注税收政策（如减税降费新政）、征管系统（如金税四期功能更新）的动态变化，主动提升税务职业竞争力。</w:t>
      </w:r>
    </w:p>
    <w:p w14:paraId="0A8D13DB">
      <w:pPr>
        <w:pStyle w:val="3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（二）知识目标</w:t>
      </w:r>
    </w:p>
    <w:p w14:paraId="257227AA">
      <w:pPr>
        <w:pStyle w:val="11"/>
        <w:numPr>
          <w:ilvl w:val="0"/>
          <w:numId w:val="2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掌握核心税种的基本理论，包括增值税（征税范围、税率、进项抵扣规则）、企业所得税（应纳税所得额计算、税收优惠）、个人所得税（综合所得申报、专项附加扣除）的计税原理。</w:t>
      </w:r>
    </w:p>
    <w:p w14:paraId="71ED47B7">
      <w:pPr>
        <w:pStyle w:val="11"/>
        <w:numPr>
          <w:ilvl w:val="0"/>
          <w:numId w:val="2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熟悉智慧化税费管理工具的工作原理，涵盖金税四期系统（发票管理、税源监控、风险预警模块）、智能申报平台（数据自动采集、申报表生成逻辑）的操作知识。</w:t>
      </w:r>
    </w:p>
    <w:p w14:paraId="25FA88DC">
      <w:pPr>
        <w:pStyle w:val="11"/>
        <w:numPr>
          <w:ilvl w:val="0"/>
          <w:numId w:val="2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掌握税费核算的规范要求，包括发票审核要点（数电发票真伪识别、备注栏合规性）、税费会计科目运用（应交税费明细科目设置、税金及附加归集）。</w:t>
      </w:r>
    </w:p>
    <w:p w14:paraId="7F18F9C3">
      <w:pPr>
        <w:pStyle w:val="11"/>
        <w:numPr>
          <w:ilvl w:val="0"/>
          <w:numId w:val="2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理解税务筹划的基础逻辑，掌握固定资产加速折旧、小微企业税收优惠等常见筹划方法的适用条件与操作要点。</w:t>
      </w:r>
    </w:p>
    <w:p w14:paraId="0C1B1909">
      <w:pPr>
        <w:pStyle w:val="11"/>
        <w:numPr>
          <w:ilvl w:val="0"/>
          <w:numId w:val="2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熟悉税务风险管控的知识体系，包括发票异常风险（如虚开发票特征）、申报偏差风险（如数据勾稽不符）的识别标准与应对流程。</w:t>
      </w:r>
    </w:p>
    <w:p w14:paraId="76396BB9">
      <w:pPr>
        <w:pStyle w:val="11"/>
        <w:numPr>
          <w:ilvl w:val="0"/>
          <w:numId w:val="2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了解税费数据合规处理的要求，掌握《税收征管法》第 28 条（依法征税）、《数据安全法》第 31 条（重要数据保护）在税务工作中的应用要点。</w:t>
      </w:r>
    </w:p>
    <w:p w14:paraId="2A8B5DD3">
      <w:pPr>
        <w:pStyle w:val="11"/>
        <w:numPr>
          <w:ilvl w:val="0"/>
          <w:numId w:val="2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理解业税融合的核心逻辑，掌握从业务数据（如采购合同、销售发票）到税务数据（如进项税抵扣、销项税计算）的转化路径及关联验证方法。</w:t>
      </w:r>
    </w:p>
    <w:p w14:paraId="601920CD">
      <w:pPr>
        <w:pStyle w:val="3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（三）能力目标</w:t>
      </w:r>
    </w:p>
    <w:p w14:paraId="6C1BBD8D">
      <w:pPr>
        <w:pStyle w:val="11"/>
        <w:numPr>
          <w:ilvl w:val="0"/>
          <w:numId w:val="3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具备核心税种智慧化核算能力，能根据业务凭证（如数电发票、银行缴税回单）准确计算增值税、企业所得税，误差率≤1%，并编制税费相关记账凭证。</w:t>
      </w:r>
    </w:p>
    <w:p w14:paraId="2BE3639F">
      <w:pPr>
        <w:pStyle w:val="11"/>
        <w:numPr>
          <w:ilvl w:val="0"/>
          <w:numId w:val="3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具备智能申报系统操作能力，能熟练使用金税四期模拟系统、用友税务云完成增值税申报表（附表一 / 二）、企业所得税预缴表的自动生成与提交，申报成功率 100%。</w:t>
      </w:r>
    </w:p>
    <w:p w14:paraId="1E43FF7A">
      <w:pPr>
        <w:pStyle w:val="11"/>
        <w:numPr>
          <w:ilvl w:val="0"/>
          <w:numId w:val="3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具备发票智慧化管理能力，能通过数电发票平台完成发票接收、勾选认证、红冲处理，能识别虚开发票（如发票代码异常、货物名称与业务不符），识别准确率≥95%。</w:t>
      </w:r>
    </w:p>
    <w:p w14:paraId="377A9EF7">
      <w:pPr>
        <w:pStyle w:val="11"/>
        <w:numPr>
          <w:ilvl w:val="0"/>
          <w:numId w:val="3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具备税务风险识别与应对能力，能通过智能风控平台（如航信风控系统）排查税务异常数据（如进项税抵扣比例异常），并撰写简易风险整改报告。</w:t>
      </w:r>
    </w:p>
    <w:p w14:paraId="5A157090">
      <w:pPr>
        <w:pStyle w:val="11"/>
        <w:numPr>
          <w:ilvl w:val="0"/>
          <w:numId w:val="3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具备基础税务筹划能力，能结合企业实际情况（如小微企业规模、固定资产采购计划）设计 1-2 项合规筹划方案，方案符合税收政策要求。</w:t>
      </w:r>
    </w:p>
    <w:p w14:paraId="3EEBDF2F">
      <w:pPr>
        <w:pStyle w:val="11"/>
        <w:numPr>
          <w:ilvl w:val="0"/>
          <w:numId w:val="3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具备税费数据关联分析能力，能通过 ERP 系统对接业务模块（如采购、销售），提取业务数据（如采购金额、销售收入）与税务数据（进项税、销项税）交叉验证，排查数据差异。</w:t>
      </w:r>
    </w:p>
    <w:p w14:paraId="2F32B0E9">
      <w:pPr>
        <w:pStyle w:val="11"/>
        <w:numPr>
          <w:ilvl w:val="0"/>
          <w:numId w:val="3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具备团队协作完成综合税务项目的能力，能在小组中承担税费核算、筹划方案设计或风险排查角色，通过分工协作完成企业季度税费管理项目，并进行成果汇报。</w:t>
      </w:r>
    </w:p>
    <w:p w14:paraId="1CE0CF5C">
      <w:pPr>
        <w:pStyle w:val="2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四、课程职业能力分析</w:t>
      </w:r>
    </w:p>
    <w:p w14:paraId="78A0DF31">
      <w:pPr>
        <w:pStyle w:val="11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表 2 课程职业能力分析表</w:t>
      </w:r>
    </w:p>
    <w:p w14:paraId="5C19080C">
      <w:pPr>
        <w:pStyle w:val="11"/>
        <w:rPr>
          <w:color w:val="000000" w:themeColor="text1"/>
          <w14:textFill>
            <w14:solidFill>
              <w14:schemeClr w14:val="tx1"/>
            </w14:solidFill>
          </w14:textFill>
        </w:rPr>
      </w:pPr>
    </w:p>
    <w:tbl>
      <w:tblPr>
        <w:tblStyle w:val="9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1667"/>
        <w:gridCol w:w="1551"/>
        <w:gridCol w:w="1782"/>
        <w:gridCol w:w="1763"/>
        <w:gridCol w:w="1783"/>
      </w:tblGrid>
      <w:tr w14:paraId="0BADD5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725976F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工作岗位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AE3D457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工作任务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48D93AB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工作内容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C898118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技能点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47F6553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知识点</w:t>
            </w:r>
          </w:p>
        </w:tc>
      </w:tr>
      <w:tr w14:paraId="03F91C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4BE2B06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税务会计岗（企业）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708B0AB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日常税费核算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21903354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 审核数电发票（真伪、合规性）及其他计税凭证；2. 计算增值税（销项税、进项税、应纳税额）、企业所得税预缴额；3. 编制税费记账凭证，登记 “应交税费” 明细账；4. 归集 “税金及附加”（城建税、教育费附加）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11A90A9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 数电发票真伪识别与合规审核技能；2. 核心税种税额计算技能；3. 税费会计凭证编制与登账技能；4. 智能财税软件（用友税务云）税费核算模块操作技能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DE0B20E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 数电发票管理规范（国家税务总局公告 2023 年第 7 号）；2. 增值税计税公式与进项抵扣规则；3. 税费会计科目核算范围；4. 智能核算软件操作逻辑</w:t>
            </w:r>
          </w:p>
        </w:tc>
      </w:tr>
      <w:tr w14:paraId="7D8079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6DCEE7F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税务会计岗（企业）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3DDF586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智能纳税申报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48436C2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 采集企业业务数据（如销售收入、采购成本）导入申报系统；2. 核对申报系统自动生成的申报表（如增值税主表、附表）；3. 提交申报表并完成税款缴纳（银行扣款操作）；4. 打印申报回执与完税证明，归档留存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7E3E209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 申报数据采集与导入技能；2. 申报表勾稽关系核查技能；3. 金税四期模拟系统申报与缴款操作技能；4. 税务资料归档整理技能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ADA40D9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 纳税申报期限与流程（如增值税按月 / 季申报要求）；2. 申报表勾稽关系原理（如增值税主表与附表数据关联）；3. 金税四期申报模块操作规范；4. 税务档案管理要求（《税收征管法实施细则》第 29 条）</w:t>
            </w:r>
          </w:p>
        </w:tc>
      </w:tr>
      <w:tr w14:paraId="01B7ED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0794735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智能财税岗（企业 / 机构）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D1FCC45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税务风险管控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64C03F1D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 运用智能风控平台扫描企业税务数据（如进项税抵扣比例、发票开具金额）；2. 识别税务异常点（如发票作废率过高、申报收入与开票收入差异大）；3. 分析异常原因（如业务真实误差、操作失误）；4. 制定风险整改方案（如补充佐证材料、更正申报）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D9962C0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 智能风控平台操作技能；2. 税务异常点识别与分析技能；3. 风险整改方案撰写技能；4. 税务数据可视化分析（如用 Power BI 展示风险趋势）技能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96F31B3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 税务风险预警指标（如增值税税负率偏离行业均值）；2. 常见税务异常原因（如发票勾选错误、收入确认延迟）；3. 风险整改流程与时限要求；4. 税务数据可视化工具应用逻辑</w:t>
            </w:r>
          </w:p>
        </w:tc>
      </w:tr>
      <w:tr w14:paraId="0287A2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23C776B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税务筹划岗（企业 / 事务所）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B406FC7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基础税务筹划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B696954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 梳理企业业务场景（如固定资产采购、研发费用支出）；2. 匹配适用税收优惠政策（如研发费用加计扣除、小微企业所得税减免）；3. 设计筹划方案（如调整采购时间享受免税政策）；4. 测算筹划效果（如节税金额、税负率变化）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19F1610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 税收优惠政策匹配技能；2. 筹划方案设计与论证技能；3. 节税效果测算技能；4. 筹划方案 PPT 汇报技能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1111ECC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 常见税收优惠政策（如《财政部 税务总局关于小微企业和个体工商户所得税优惠政策的公告》2024 年第 5 号）；2. 税务筹划基本原则（合法、合规、可持续）；3. 节税金额计算公式（应纳税额差额）；4. 筹划方案汇报结构（背景 - 目标 - 方案 - 效果）</w:t>
            </w:r>
          </w:p>
        </w:tc>
      </w:tr>
      <w:tr w14:paraId="7A743E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2AA49FC6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税务助理岗（会计师事务所）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3A5F544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税务审计支持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7193707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 协助收集企业纳税申报资料（申报表、完税证明、发票台账）；2. 抽查税费计算过程（如进项税抵扣凭证与账簿核对）；3. 协助编制税务审计工作底稿，记录审计证据；4. 协助排查企业税务风险点，提出初步整改建议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6D30563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 税务审计资料收集与整理技能；2. 税费计算过程抽查与验证技能；3. 审计工作底稿编制技能；4. 税务风险点排查技能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9589B7F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 税务审计准则基本要求；2. 税费计算验证方法（如倒算应纳税额）；3. 税务审计工作底稿编制规范；4. 税务风险点排查逻辑（从数据差异到原因分析）</w:t>
            </w:r>
          </w:p>
        </w:tc>
      </w:tr>
    </w:tbl>
    <w:p w14:paraId="05A0580B">
      <w:pPr>
        <w:pStyle w:val="2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五、课程设计思路</w:t>
      </w:r>
    </w:p>
    <w:p w14:paraId="0FA79782">
      <w:pPr>
        <w:pStyle w:val="11"/>
        <w:ind w:firstLine="440" w:firstLineChars="200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本课程以 “岗位需求为核心、智慧化工具为载体、合规风控为底线、课程思政为融入” 为设计理念，从教学路径、教学评价、课程思政三个维度构建课程体系，呼应学校观测要求中的 “理实一体、产教融合” 导向：</w:t>
      </w:r>
    </w:p>
    <w:p w14:paraId="23FCBD41">
      <w:pPr>
        <w:pStyle w:val="3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（一）教学路径设计</w:t>
      </w:r>
    </w:p>
    <w:p w14:paraId="2BDC8A9C">
      <w:pPr>
        <w:pStyle w:val="11"/>
        <w:ind w:firstLine="440" w:firstLineChars="200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采用 “项目引领、任务驱动、虚实结合” 的教学模式，将课程内容拆解为 “智慧化税费基础认知”“日常税种智慧化核算与申报”“税务筹划与风险管控”“智慧化税费综合应用” 4 个核心项目，每个项目下设真实税务工作任务（如 “数电发票勾选认证”“企业所得税季度申报”“小微企业税务筹划方案设计”）。教学中遵循 “认知 - 模拟 - 实战 - 创新” 的能力递进逻辑：</w:t>
      </w:r>
    </w:p>
    <w:p w14:paraId="42ABA0C6">
      <w:pPr>
        <w:pStyle w:val="11"/>
        <w:numPr>
          <w:ilvl w:val="0"/>
          <w:numId w:val="4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b/>
          <w:bCs/>
          <w:color w:val="000000" w:themeColor="text1"/>
          <w14:textFill>
            <w14:solidFill>
              <w14:schemeClr w14:val="tx1"/>
            </w14:solidFill>
          </w14:textFill>
        </w:rPr>
        <w:t>认知环节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：通过企业真实税务案例（如制造业增值税申报流程、服务业个税代扣代缴场景）讲解税种逻辑与智慧化工具操作规范，结合金税四期系统演示核心功能；</w:t>
      </w:r>
    </w:p>
    <w:p w14:paraId="77DFB8F1">
      <w:pPr>
        <w:pStyle w:val="11"/>
        <w:numPr>
          <w:ilvl w:val="0"/>
          <w:numId w:val="4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b/>
          <w:bCs/>
          <w:color w:val="000000" w:themeColor="text1"/>
          <w14:textFill>
            <w14:solidFill>
              <w14:schemeClr w14:val="tx1"/>
            </w14:solidFill>
          </w14:textFill>
        </w:rPr>
        <w:t>模拟环节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：学生在虚拟实训平台（如网中网智能税务实训平台）完成仿真任务（如 “发票异常处理”“申报表纠错”），教师实时指导并纠正常见错误；</w:t>
      </w:r>
    </w:p>
    <w:p w14:paraId="7B743F08">
      <w:pPr>
        <w:pStyle w:val="11"/>
        <w:numPr>
          <w:ilvl w:val="0"/>
          <w:numId w:val="4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b/>
          <w:bCs/>
          <w:color w:val="000000" w:themeColor="text1"/>
          <w14:textFill>
            <w14:solidFill>
              <w14:schemeClr w14:val="tx1"/>
            </w14:solidFill>
          </w14:textFill>
        </w:rPr>
        <w:t>实战环节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：引入企业脱敏后的真实税务数据集（如合作企业季度销售收入、采购发票数据），学生分组完成全流程税费处理（从核算到申报）；</w:t>
      </w:r>
    </w:p>
    <w:p w14:paraId="56B996D7">
      <w:pPr>
        <w:pStyle w:val="11"/>
        <w:numPr>
          <w:ilvl w:val="0"/>
          <w:numId w:val="4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b/>
          <w:bCs/>
          <w:color w:val="000000" w:themeColor="text1"/>
          <w14:textFill>
            <w14:solidFill>
              <w14:schemeClr w14:val="tx1"/>
            </w14:solidFill>
          </w14:textFill>
        </w:rPr>
        <w:t>创新环节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：要求学生利用智能工具（如 Excel 自动化模板、Power BI 风险看板）对实战项目数据进行二次优化，如设计 “税费申报提醒表”“税务风险预警图”，实现 “核算 - 申报 - 风控 - 优化” 的闭环。</w:t>
      </w:r>
    </w:p>
    <w:p w14:paraId="0B8ADAFC">
      <w:pPr>
        <w:pStyle w:val="11"/>
        <w:ind w:firstLine="440" w:firstLineChars="200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同时，建立跨课程协同机制，与《企业财务会计》课程联动，将本课程中的 “税费核算数据” 直接作为《企业财务会计》“税金及附加归集” 模块的数据源；与《财务大数据分析》课程联动，将 “税务风险数据” 用于该课程 “风险预测模型” 训练，实现课程间数据与技能的贯通。</w:t>
      </w:r>
    </w:p>
    <w:p w14:paraId="36540F96">
      <w:pPr>
        <w:pStyle w:val="3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（二）教学评价设计</w:t>
      </w:r>
    </w:p>
    <w:p w14:paraId="1D0A563D">
      <w:pPr>
        <w:pStyle w:val="11"/>
        <w:ind w:firstLine="440" w:firstLineChars="200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打破传统 “理论笔试为主” 的评价模式，构建 “多维度、过程性、能力导向” 的评价体系，采用 “税务能力证据链” 评估方式，从 “知识掌握、技能应用、职业素养” 三个维度综合评价，契合学校观测要求中的 “多维度过程性评价”：</w:t>
      </w:r>
    </w:p>
    <w:p w14:paraId="2B909826">
      <w:pPr>
        <w:pStyle w:val="11"/>
        <w:numPr>
          <w:ilvl w:val="0"/>
          <w:numId w:val="5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b/>
          <w:bCs/>
          <w:color w:val="000000" w:themeColor="text1"/>
          <w14:textFill>
            <w14:solidFill>
              <w14:schemeClr w14:val="tx1"/>
            </w14:solidFill>
          </w14:textFill>
        </w:rPr>
        <w:t>过程性评价（60%）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：包括课堂实训任务（20%，如发票审核准确率、申报操作熟练度）、小组项目成果（25%，如税务筹划方案可行性、风险排查深度）、学习日志（15%，记录税收政策理解难点、工具操作问题及整改思路）；</w:t>
      </w:r>
    </w:p>
    <w:p w14:paraId="26771109">
      <w:pPr>
        <w:pStyle w:val="11"/>
        <w:numPr>
          <w:ilvl w:val="0"/>
          <w:numId w:val="5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b/>
          <w:bCs/>
          <w:color w:val="000000" w:themeColor="text1"/>
          <w14:textFill>
            <w14:solidFill>
              <w14:schemeClr w14:val="tx1"/>
            </w14:solidFill>
          </w14:textFill>
        </w:rPr>
        <w:t>终结性评价（40%）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：采用 “全流程实操 + 报告” 形式，学生独立完成 “企业季度税费综合处理（核算 + 申报 + 风险排查）+1 份税务筹划建议报告”，重点考核税费计算合规性、申报数据准确性及筹划建议的可行性；</w:t>
      </w:r>
    </w:p>
    <w:p w14:paraId="723B981D">
      <w:pPr>
        <w:pStyle w:val="11"/>
        <w:numPr>
          <w:ilvl w:val="0"/>
          <w:numId w:val="5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b/>
          <w:bCs/>
          <w:color w:val="000000" w:themeColor="text1"/>
          <w14:textFill>
            <w14:solidFill>
              <w14:schemeClr w14:val="tx1"/>
            </w14:solidFill>
          </w14:textFill>
        </w:rPr>
        <w:t>附加评价（加分项）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：鼓励学生考取 “智能财税应用师（税务方向）”“个税师（初级）” 证书或参与校级税务案例分析大赛，获奖或取得证书可额外加分（最高不超过总成绩的 10%），呼应学校 “1+X” 证书制度要求。</w:t>
      </w:r>
    </w:p>
    <w:p w14:paraId="13AC5BAF">
      <w:pPr>
        <w:pStyle w:val="3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（三）课程思政设计</w:t>
      </w:r>
    </w:p>
    <w:p w14:paraId="67754B3B">
      <w:pPr>
        <w:pStyle w:val="11"/>
        <w:ind w:firstLine="440" w:firstLineChars="200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坚持 “思政元素与税务场景深度融合” 的原则，结合税务职业特点设计思政载体，避免生硬嫁接：</w:t>
      </w:r>
    </w:p>
    <w:p w14:paraId="67521FA2">
      <w:pPr>
        <w:pStyle w:val="11"/>
        <w:numPr>
          <w:ilvl w:val="0"/>
          <w:numId w:val="6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b/>
          <w:bCs/>
          <w:color w:val="000000" w:themeColor="text1"/>
          <w14:textFill>
            <w14:solidFill>
              <w14:schemeClr w14:val="tx1"/>
            </w14:solidFill>
          </w14:textFill>
        </w:rPr>
        <w:t>诚信纳税融入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：在 “发票审核” 模块，引入 “企业虚开发票被追缴税款并罚款” 案例（如某贸易公司虚开增值税专用发票事件），分析违法后果，培养学生 “合规开票、诚信抵扣” 意识；</w:t>
      </w:r>
    </w:p>
    <w:p w14:paraId="4E490F26">
      <w:pPr>
        <w:pStyle w:val="11"/>
        <w:numPr>
          <w:ilvl w:val="0"/>
          <w:numId w:val="6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b/>
          <w:bCs/>
          <w:color w:val="000000" w:themeColor="text1"/>
          <w14:textFill>
            <w14:solidFill>
              <w14:schemeClr w14:val="tx1"/>
            </w14:solidFill>
          </w14:textFill>
        </w:rPr>
        <w:t>数据安全融入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：在 “税务数据处理” 模块，结合《数据安全法》第 31 条，设计 “企业纳税信息脱敏处理” 实训，要求学生对客户身份证号、银行账户等敏感数据进行合规处理，培养数据安全伦理；</w:t>
      </w:r>
    </w:p>
    <w:p w14:paraId="6A0F6E82">
      <w:pPr>
        <w:pStyle w:val="11"/>
        <w:numPr>
          <w:ilvl w:val="0"/>
          <w:numId w:val="6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b/>
          <w:bCs/>
          <w:color w:val="000000" w:themeColor="text1"/>
          <w14:textFill>
            <w14:solidFill>
              <w14:schemeClr w14:val="tx1"/>
            </w14:solidFill>
          </w14:textFill>
        </w:rPr>
        <w:t>家国情怀融入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：在 “税收优惠政策” 模块，讲解 “小微企业减税降费政策” 对实体经济的支持作用（如 2024 年小微企业所得税减半征收政策），结合 “税收支撑国家教育、医疗事业发展” 案例，培养学生 “依法纳税是社会责任” 的认知；</w:t>
      </w:r>
    </w:p>
    <w:p w14:paraId="5FA962B0">
      <w:pPr>
        <w:pStyle w:val="11"/>
        <w:numPr>
          <w:ilvl w:val="0"/>
          <w:numId w:val="6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b/>
          <w:bCs/>
          <w:color w:val="000000" w:themeColor="text1"/>
          <w14:textFill>
            <w14:solidFill>
              <w14:schemeClr w14:val="tx1"/>
            </w14:solidFill>
          </w14:textFill>
        </w:rPr>
        <w:t>职业精神融入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：在 “税务筹划” 模块，对比 “合法筹划（如研发费用加计扣除）” 与 “违法避税（如隐瞒收入）” 案例，引入 “全国先进税务工作者” 事迹，培养学生 “坚守职业底线、追求合规价值” 的精神。</w:t>
      </w:r>
    </w:p>
    <w:p w14:paraId="27859D19">
      <w:pPr>
        <w:pStyle w:val="2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六、课程结构与内容</w:t>
      </w:r>
    </w:p>
    <w:p w14:paraId="75EADBC4">
      <w:pPr>
        <w:pStyle w:val="11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表 3 课程设计方案</w:t>
      </w:r>
    </w:p>
    <w:p w14:paraId="3D8351BC">
      <w:pPr>
        <w:pStyle w:val="11"/>
        <w:rPr>
          <w:color w:val="000000" w:themeColor="text1"/>
          <w14:textFill>
            <w14:solidFill>
              <w14:schemeClr w14:val="tx1"/>
            </w14:solidFill>
          </w14:textFill>
        </w:rPr>
      </w:pPr>
    </w:p>
    <w:tbl>
      <w:tblPr>
        <w:tblStyle w:val="9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992"/>
        <w:gridCol w:w="1181"/>
        <w:gridCol w:w="1228"/>
        <w:gridCol w:w="1471"/>
        <w:gridCol w:w="1331"/>
        <w:gridCol w:w="1331"/>
        <w:gridCol w:w="1012"/>
      </w:tblGrid>
      <w:tr w14:paraId="4C2043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04DB83A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4E652B8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课程内容（模块 / 项目）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FD88CC9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学习任务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23D90E1A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学习内容和要求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B660220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教学设计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DE4EA54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课程思政设计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6F1A4BC8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学时</w:t>
            </w:r>
          </w:p>
        </w:tc>
      </w:tr>
      <w:tr w14:paraId="52BBCC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9CCBBD6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BC2AFA2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项目一：智慧化税费基础认知（8 学时）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B873691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任务 1.1：税收政策与核心税种认知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5F4E5BA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学习内容：1. 现行税收体系（流转税、所得税、附加税）及征管流程；2. 增值税核心规则（征税范围、税率档次、进项抵扣凭证要求）；3. 企业所得税基础（应纳税所得额计算、小微企业判定标准）。要求：1. 能区分 3 类以上税种的征税对象，无混淆；2. 能准确判断增值税一般纳税人与小规模纳税人适用场景；3. 能计算小微企业应纳税所得额，误差率≤2%。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27ECCC2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 案例教学：以 “零售业小规模纳税人转一般纳税人” 为例，分析税种适用变化；2. 政策解读：结合 2024 年最新减税降费政策（如增值税减免新政），用思维导图梳理要点；3. 小组讨论：分析 “税收政策对企业经营的影响”，形成 1 份简短报告。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2038BAAB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 讲解 “税收取之于民、用之于民” 的本质，结合 “税收支持乡村振兴” 案例，培养家国情怀；2. 强调 “政策理解准确性是合规纳税的前提”，培养学生严谨治学的态度。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D64CA84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</w:tr>
      <w:tr w14:paraId="19C493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8799E3C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6CBD3BB1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83D3BCE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任务 1.2：智慧化税费工具认知与操作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F0EB819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学习内容：1. 金税四期系统核心模块（发票管理、申报缴税、风险预警）功能；2. 数电发票平台操作（发票接收、勾选认证、红冲处理）；3. 智能申报平台（用友税务云）数据采集与申报表生成流程。要求：1. 能独立登录金税四期模拟系统，熟悉 3 个以上核心模块入口；2. 能完成数电发票勾选认证，准确率 100%；3. 能通过智能平台导入业务数据，生成增值税申报表初稿。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19837D3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 演示教学：教师通过金税四期模拟系统演示 “发票勾选 - 数据采集 - 申报表生成” 全流程；2. 实操训练：学生在网中网平台完成 “数电发票红冲”“申报表初稿生成” 实训，提交操作录屏；3. 纠错练习：展示 “发票勾选错误”“数据导入失败” 等典型案例，组织学生分析整改。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CFB9662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 引入 “企业因不熟悉金税系统导致申报延迟被罚” 案例，强调 “熟练掌握工具是高效办税的基础”，培养学生主动学习技术的意识；2. 讲解金税四期 “以数治税” 的意义，引导学生理解税务数字化转型的必要性。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23E36ED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</w:tr>
      <w:tr w14:paraId="014C49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4CECC51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6B8707E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项目二：日常税种智慧化核算与申报（24 学时）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4CE65A3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任务 2.1：增值税智慧化核算与申报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BC9D321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学习内容：1. 增值税核算（销项税计算、进项税认证与抵扣、应纳税额计算）；2. 增值税申报表填写（主表、附表一 / 二、减免税明细表）；3. 金税四期系统增值税申报与缴款操作。要求：1. 能准确计算增值税应纳税额，误差率≤1%；2. 能完整填写增值税申报表，项目填列准确率≥98%；3. 能在金税系统完成申报与缴款，流程无卡顿。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E39B31F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 情境教学：以 “制造业企业月度采购与销售” 为情境，拆解增值税核算与申报逻辑；2. 校企协同：邀请合作企业（贵州爱信诺航天信息）税务专员讲解真实申报痛点；3. 小组实操：4 人一组，基于模拟企业业务数据（销售收入、采购发票）完成增值税全流程处理，提交流程报告。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D429F6F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 融入 “企业虚开增值税发票被列入失信名单” 案例，开展 “诚信纳税” 讨论，培养学生廉洁自律、合规执业的意识；2. 讲解 “增值税链条完整性对企业的影响”，引导学生树立 “全流程合规” 思维。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604247BF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</w:tr>
      <w:tr w14:paraId="4F0A7C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D861A49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8C981FE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A74DF04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任务 2.2：企业所得税智慧化核算与申报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C0DFE65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学习内容：1. 企业所得税核算（收入确认、成本费用扣除、税收优惠应用）；2. 企业所得税季度预缴表填写（营业收入、营业成本、应纳税所得额）；3. 智能申报平台企业所得税数据自动校验功能操作。要求：1. 能准确归集企业所得税税前扣除项目，无超范围扣除；2. 能填写企业所得税预缴表，数据勾稽关系无错误；3. 能通过智能平台校验申报数据，修正异常点（如收入与增值税申报收入差异）。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2E393631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 案例分析：以 “科技企业研发费用加计扣除” 为例，演示税收优惠应用与核算；2. 实操训练：学生使用用友税务云完成 “小微企业季度所得税申报”，提交申报表与校验报告；3. 成果点评：选取典型学生作业，分析 “扣除项目遗漏”“优惠政策误用” 等问题，指导整改。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F9DB58D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 引入 “企业因多列成本费用被税务稽查” 案例，强调 “成本扣除合规性”，培养学生严谨细致的工作作风；2. 讲解 “研发费用加计扣除政策对科技创新的支持”，引导学生理解税收政策的产业导向作用。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DDF586C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</w:tr>
      <w:tr w14:paraId="5B6DF3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65B2422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DC3AFF2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CEE161E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任务 2.3：个人所得税智慧化代扣代缴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480ACC5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学习内容：1. 个人所得税核算（综合所得预扣预缴、专项附加扣除采集）；2. 自然人电子税务局（扣缴端）操作（人员信息采集、个税计算、申报缴款）；3. 个税专项附加扣除信息验证与异议处理。要求：1. 能运用累计预扣法计算个人所得税，无计算错误；2. 能在扣缴端完成 10 人以上团队个税申报，成功率 100%；3. 能处理专项附加扣除信息异议（如员工重复填报），处理及时率 100%。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6C95A3A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 演示教学：教师通过自然人电子税务局（模拟端）演示 “人员采集 - 个税计算 - 申报” 流程；2. 实操任务：学生模拟 “企业 HR 个税代扣” 场景，完成人员信息录入、个税计算与申报；3. 小组讨论：分析 “个税计算错误导致员工投诉” 案例，提出 3 条以上优化建议。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674EB852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 融入 “企业未按时代扣个税被处罚” 案例，强调 “代扣代缴责任”，培养学生责任意识；2. 讲解 “个税专项附加扣除政策对民生的保障”（如子女教育扣除减轻家庭负担），引导学生感受国家政策温度。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0020089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</w:tr>
      <w:tr w14:paraId="4940CB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C1B615E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A6AA9FB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3C370C4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任务 2.4：附加税费与其他税种核算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0AA8799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学习内容：1. 附加税费（城建税、教育费附加）计算（以增值税为计税依据）；2. 印花税、房产税等小税种的计税规则与申报流程；3. 智能财税平台 “多税种合并申报” 功能操作。要求：1. 能准确计算附加税费，误差率≤0.5%；2. 能区分印花税不同税目（如购销合同、借款合同）的税率，无适用错误；3. 能通过合并申报功能完成多税种一次性申报，节省申报时间。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A13B188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 流程教学：绘制 “附加税费与增值税联动申报流程图”，讲解计算逻辑；2. 实操训练：学生使用金税四期模拟系统完成 “附加税费 + 印花税” 合并申报，提交申报回执；3. 难点突破：针对 “计税依据选错”“税率适用错误” 等问题，开展专项训练。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8FD4C4C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 引入 “企业漏报印花税被追缴滞纳金” 案例，强调 “小税种无小事”，培养学生全面合规的意识；2. 讲解 “附加税费对地方公共服务（如教育、医疗）的支撑作用”，引导学生理解税收的公共价值。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3843EDF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</w:tr>
      <w:tr w14:paraId="18CE86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2E450C5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709F69C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项目三：税务筹划与风险管控（16 学时）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9CFAEF9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任务 3.1：基础税务筹划方案设计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BC5F47B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学习内容：1. 税务筹划基础方法（固定资产加速折旧、小微企业身份选择、费用税前扣除优化）；2. 筹划方案设计流程（业务梳理 - 政策匹配 - 效果测算 - 方案撰写）；3. 筹划方案合规性验证（是否符合税收政策、是否存在税务风险）。要求：1. 能针对企业特定业务（如固定资产采购）匹配 1-2 项适用筹划方法；2. 能测算筹划效果（节税金额、税负率下降幅度），误差率≤2%；3. 能撰写 800 字以上筹划方案，逻辑清晰、合规性无争议。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629A9D36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 案例教学：以 “制造业企业采购生产设备” 为例，演示加速折旧筹划方案设计；2. 小组任务：4 人一组，基于给定企业业务数据（如年度采购计划）设计筹划方案，进行成果汇报；3. 企业点评：邀请校外实训基地税务总监点评方案可行性，提出优化建议。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0A70ED2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 对比 “合法筹划” 与 “违法避税” 案例（如利用税收洼地 vs 隐瞒收入），强调 “筹划底线是合规”，培养学生坚守职业操守的意识；2. 讲解 “税务筹划对企业降本增效的作用”，引导学生树立 “为企业创造合规价值” 的职业追求。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C27A39E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</w:tr>
      <w:tr w14:paraId="57DEA9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1499F16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033DDD5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A32F6CB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任务 3.2：税务风险识别与应对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6FF62F71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学习内容：1. 常见税务风险类型（发票风险、申报风险、核算风险）及识别标准；2. 智能风控平台操作（风险指标扫描、异常数据预警、风险报告生成）；3. 风险应对流程（异常原因分析 - 佐证材料准备 - 整改方案实施 - 反馈跟踪）。要求：1. 能识别 3 种以上税务风险（如发票代码异常、申报收入与开票收入差异），识别率≥90%；2. 能通过智能风控平台生成风险报告，包含异常点、原因推测；3. 能针对 1 项风险制定整改方案（如补充业务合同佐证），方案可落地。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893F3D7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 情境模拟：设置 “企业增值税申报数据异常” 情境，引导学生排查风险点；2. 实操训练：学生使用航信风控模拟系统完成 “企业季度税务风险扫描”，提交风险报告与整改方案；3. 交叉审核：学生分组互审整改方案，提出补充建议（如增加佐证材料类型）。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6EB6C483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 引入 “上市公司因税务风险导致股价下跌” 案例，强调 “风险管控是企业生命线”，培养学生风险防范意识；2. 讲解 “智能风控对提升税务管理效率的作用”，引导学生拥抱技术、主动防控风险。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DAFD224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</w:tr>
      <w:tr w14:paraId="185668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6CFFA1FA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8423930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AF45B4A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任务 3.3：税务稽查应对基础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F171103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学习内容：1. 税务稽查流程（选案 - 检查 - 审理 - 执行）及企业配合要求；2. 稽查证据准备（如业务合同、银行流水、会计凭证）规范；3. 常见稽查问题（如进项税抵扣凭证不合规）的应对话术与策略。要求：1. 能梳理税务稽查所需资料清单，要素无遗漏；2. 能识别稽查证据的合规性（如合同签章完整性），识别率≥95%；3. 能针对 1 项稽查问题（如发票备注栏缺失）准备应对说明，逻辑合理。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67E8FB2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 专家授课：邀请税务局稽查科工作人员讲解真实稽查案例与流程；2. 角色扮演：学生分组扮演 “税务稽查人员” 与 “企业财务人员”，模拟稽查问询场景；3. 总结反思：针对模拟过程中的问题（如证据准备不充分），梳理应对要点。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74C44AA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 融入 “企业积极配合稽查降低处罚” 案例，强调 “诚信配合是应对稽查的关键”，培养学生诚实信用的职业素养；2. 讲解 “税务稽查对规范市场秩序的作用”，引导学生理解稽查的公平性与必要性。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6869B7F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</w:tr>
      <w:tr w14:paraId="03ED98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6BA5A9E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C76822B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项目四：智慧化税费综合应用（16 学时）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D2CFAB0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任务 4.1：业税数据关联分析与验证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FA8CC27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学习内容：1. 业税融合逻辑（业务数据：采购合同 / 销售发票→税务数据：进项税 / 销项税）；2. ERP 系统业务模块与税务模块数据对接（如库存模块 “出库数据” 与税务 “销项税” 匹配）；3. Excel 数据透视表在业税数据交叉验证中的应用（如 “按产品类别核对销售收入与销项税”）。要求：1. 能识别 3 个以上业税数据关联节点（如采购金额与进项税、销售金额与销项税）；2. 能使用数据透视表完成业税数据交叉验证，生成 1 份验证报告；3. 能排查业税数据差异（如进项税大于采购金额），提出 1 条以上整改建议。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C645091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 跨课程联动：邀请《财务大数据分析》课程教师共同讲解业税数据融合逻辑；2. 实操任务：学生使用企业脱敏业财数据集（如供应链采购数据），完成 “采购金额与进项税关联验证”；3. 成果展示：学生以 PPT 形式汇报验证结论，企业导师点评数据差异整改方案。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2D06DC07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 融入 “业税数据脱节导致企业多缴税款” 案例，强调 “业税融合是精准纳税的基础”，培养学生全局思维；2. 讲解 “数据验证对提升税务管理精度的作用”，引导学生树立 “用数据说话、靠数据验证” 的思维。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79EC207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</w:tr>
      <w:tr w14:paraId="62D8B7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59238D3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5234FD1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29B231E3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任务 4.2：智慧化税费全流程处理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E9A0B97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学习内容：1. 企业月度税费全流程（发票审核 - 税费核算 - 智能申报 - 风险扫描 - 档案归档）；2. 多智能工具协同操作（金税四期 + 用友税务云 + Power BI 风险看板）；3. 税费处理效率优化（如设置申报提醒、自动化计算模板）。要求：1. 能独立完成企业月度税费全流程处理，耗时≤3 小时；2. 能实现 3 个以上智能工具协同操作（如金税数据导入用友平台）；3. 能设计 1 项效率优化措施（如 Excel 税费计算模板），提升处理效率≥20%。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445A597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 综合实训：开展 “智慧化税费全流程竞赛”，以 “准确率 + 效率” 为评分标准；2. 实操任务：学生独立完成 “模拟企业月度税费处理”，提交流程记录 + 优化措施；3. 点评优化：教师针对 “流程卡顿”“工具协同不顺畅” 等问题，指导效率提升。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34ACC3D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 融入 “高效税费处理帮助企业避免逾期罚款” 案例，强调 “效率与质量并重”，培养学生精益求精的工匠精神；2. 讲解 “智能工具协同对税务管理数字化的推动作用”，引导学生主动探索技术融合应用。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51B0565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</w:tr>
      <w:tr w14:paraId="1BADF9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3169060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08EEBA8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B1909BC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任务 4.3：职业技能认证准备与实战模拟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EA7B1D7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学习内容：1. “智能财税应用师（税务方向）” 认证考点解读（如智能申报、风险管控）；2. 认证模拟考试（题型：实操题 + 案例分析题）；3. 典型认证真题解析（如 “企业所得税优惠应用”“发票风险识别”）。要求：1. 能掌握认证核心考点，模拟考试得分≥80 分；2. 能独立完成认证实操题（如 “增值税智能申报”），流程完整、结果准确；3. 能分析认证案例题（如 “税务筹划方案设计”），答案符合政策要求。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490B0FE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 专项辅导：邀请认证培训机构讲师讲解考点与答题技巧；2. 模拟训练：学生在认证模拟平台完成 2 套模拟试卷，教师批改并讲解错题；3. 冲刺训练：针对高频考点（如金税四期操作、税务筹划）开展专项强化。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64814013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 融入 “持证者优先获得企业税务岗 offer” 案例，鼓励学生主动提升职业技能，培养 “终身学习” 意识；2. 讲解 “职业证书对会计行业专业化发展的意义”，引导学生树立 “以证促学、以证促能” 的职业规划。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BFBF6C7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</w:tr>
      <w:tr w14:paraId="36272D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6F0305C7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合计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7457425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-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40281EC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-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5FE74CD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-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6456853F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-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2429ECDE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-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533932B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64</w:t>
            </w:r>
          </w:p>
        </w:tc>
      </w:tr>
    </w:tbl>
    <w:p w14:paraId="5516A936">
      <w:pPr>
        <w:pStyle w:val="2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七、学习评价</w:t>
      </w:r>
    </w:p>
    <w:p w14:paraId="4F54F423">
      <w:pPr>
        <w:pStyle w:val="11"/>
        <w:ind w:firstLine="440" w:firstLineChars="200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本课程采用 “</w:t>
      </w:r>
      <w:r>
        <w:rPr>
          <w:b/>
          <w:bCs/>
          <w:color w:val="000000" w:themeColor="text1"/>
          <w14:textFill>
            <w14:solidFill>
              <w14:schemeClr w14:val="tx1"/>
            </w14:solidFill>
          </w14:textFill>
        </w:rPr>
        <w:t>能力导向、过程跟踪、多元融合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” 的评价体系，以 “税务岗位能力达标” 为核心，结合学校观测要求中的 “多维度过程性评价” 与 “产教融合评价”，构建 “过程性评价 + 终结性评价 + 附加评价” 的三级评价体系，具体如下：</w:t>
      </w:r>
    </w:p>
    <w:p w14:paraId="6A76DA47">
      <w:pPr>
        <w:pStyle w:val="3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（一）评价原则</w:t>
      </w:r>
    </w:p>
    <w:p w14:paraId="4A46B47F">
      <w:pPr>
        <w:pStyle w:val="11"/>
        <w:numPr>
          <w:ilvl w:val="0"/>
          <w:numId w:val="7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b/>
          <w:bCs/>
          <w:color w:val="000000" w:themeColor="text1"/>
          <w14:textFill>
            <w14:solidFill>
              <w14:schemeClr w14:val="tx1"/>
            </w14:solidFill>
          </w14:textFill>
        </w:rPr>
        <w:t>能力导向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：聚焦税费核算、智能申报、筹划风控等核心税务岗位能力，以 “会办税、办对税、善筹划” 为评价核心；</w:t>
      </w:r>
    </w:p>
    <w:p w14:paraId="6FF85B7D">
      <w:pPr>
        <w:pStyle w:val="11"/>
        <w:numPr>
          <w:ilvl w:val="0"/>
          <w:numId w:val="7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b/>
          <w:bCs/>
          <w:color w:val="000000" w:themeColor="text1"/>
          <w14:textFill>
            <w14:solidFill>
              <w14:schemeClr w14:val="tx1"/>
            </w14:solidFill>
          </w14:textFill>
        </w:rPr>
        <w:t>过程跟踪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：记录学生从 “认知 - 模拟 - 实战 - 创新” 的全学习过程，避免 “一考定终身”，关注技能提升轨迹；</w:t>
      </w:r>
    </w:p>
    <w:p w14:paraId="79EC88A4">
      <w:pPr>
        <w:pStyle w:val="11"/>
        <w:numPr>
          <w:ilvl w:val="0"/>
          <w:numId w:val="7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b/>
          <w:bCs/>
          <w:color w:val="000000" w:themeColor="text1"/>
          <w14:textFill>
            <w14:solidFill>
              <w14:schemeClr w14:val="tx1"/>
            </w14:solidFill>
          </w14:textFill>
        </w:rPr>
        <w:t>多元参与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：融合教师评价、企业导师评价、学生互评，引入企业真实税务场景标准，确保评价客观全面；</w:t>
      </w:r>
    </w:p>
    <w:p w14:paraId="4ED324A5">
      <w:pPr>
        <w:pStyle w:val="11"/>
        <w:numPr>
          <w:ilvl w:val="0"/>
          <w:numId w:val="7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b/>
          <w:bCs/>
          <w:color w:val="000000" w:themeColor="text1"/>
          <w14:textFill>
            <w14:solidFill>
              <w14:schemeClr w14:val="tx1"/>
            </w14:solidFill>
          </w14:textFill>
        </w:rPr>
        <w:t>合规导向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：将税费合规、数据安全等要求纳入评价核心指标，呼应《税收征管法》《数据安全法》及行业规范。</w:t>
      </w:r>
    </w:p>
    <w:p w14:paraId="44E2E265">
      <w:pPr>
        <w:pStyle w:val="3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（二）具体评价方案</w:t>
      </w:r>
    </w:p>
    <w:p w14:paraId="7A32767D">
      <w:pPr>
        <w:pStyle w:val="11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表 4 学习评价表</w:t>
      </w:r>
    </w:p>
    <w:p w14:paraId="0FA50B3C">
      <w:pPr>
        <w:pStyle w:val="11"/>
        <w:rPr>
          <w:color w:val="000000" w:themeColor="text1"/>
          <w14:textFill>
            <w14:solidFill>
              <w14:schemeClr w14:val="tx1"/>
            </w14:solidFill>
          </w14:textFill>
        </w:rPr>
      </w:pPr>
    </w:p>
    <w:tbl>
      <w:tblPr>
        <w:tblStyle w:val="9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1400"/>
        <w:gridCol w:w="853"/>
        <w:gridCol w:w="1218"/>
        <w:gridCol w:w="1340"/>
        <w:gridCol w:w="1319"/>
        <w:gridCol w:w="1218"/>
        <w:gridCol w:w="1198"/>
      </w:tblGrid>
      <w:tr w14:paraId="53B803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12C6F0A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评价类型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6D29556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评价环节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2FE3B289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课程内容（模块 / 项目）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62551E50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学习任务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3E8E880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评价标准（学习产出合格要求）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5790E9D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评价方法（方法 + 工具 + 场所）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E4BFF54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占比（%）</w:t>
            </w:r>
          </w:p>
        </w:tc>
      </w:tr>
      <w:tr w14:paraId="237BE9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096CED9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过程性评价（60%）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6DE75C4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课堂实训任务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2813A035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项目一至项目四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4C401A4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各模块实操任务（如发票认证、申报操作、风险扫描）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4E39242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 操作规范性：符合智能工具（金税四期、用友税务云）操作流程，无违规操作；2. 结果准确性：税费计算误差率≤1%，申报表勾稽关系无错误，风险识别率≥90%；3. 完成时效性：单次实训任务在规定时间（如 2 小时 / 任务）内完成。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A2D71D0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 方法：教师现场巡查、软件自动评分、企业导师线上抽查；2. 工具：金税四期操作日志、实训任务评分表（含合规性、准确性指标）；3. 场所：校内智能财税实训室、企业线上点评平台。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A46DCBF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20</w:t>
            </w:r>
          </w:p>
        </w:tc>
      </w:tr>
      <w:tr w14:paraId="1309B8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DC00906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0E5D8EA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小组项目成果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FB3F084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项目三（筹划方案）、项目四（业税分析）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D3CB042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小组综合任务（如税务筹划方案、业税数据验证报告）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66F3AB2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 成果完整性：包含任务说明书、操作过程记录、分析结论，要素无缺失；2. 专业深度：能识别税务痛点（如高税负、风险隐患），提出 2 条以上可行建议；3. 协作性：小组分工明确，成员贡献度均衡（通过分工表、互评表验证）。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BD3E451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 方法：教师评价 + 企业导师点评 + 小组互评；2. 工具：项目成果评分表、小组分工表、成员贡献度互评表；3. 场所：校内实训室 + 企业线下指导基地。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A9045BF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25</w:t>
            </w:r>
          </w:p>
        </w:tc>
      </w:tr>
      <w:tr w14:paraId="4C3489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7E3C3EF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BA319A9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学习日志与反思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22EF4074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项目一至项目四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35AC02D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每周学习日志（记录政策理解难点、工具操作问题、整改思路）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E01082A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 真实性：反映真实学习过程，无编造内容；2. 深度：能分析学习难点（如筹划方案合规性争议），并记录解决思路；3. 持续性：每周按时提交，缺交次数≤1 次。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74EABFF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 方法：教师批阅 + 不定期抽查；2. 工具：学习日志模板（含 “问题 - 解决 - 反思” 三栏）；3. 场所：超星学习通线上平台。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D82C7AB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15</w:t>
            </w:r>
          </w:p>
        </w:tc>
      </w:tr>
      <w:tr w14:paraId="7C96D2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2B1A0F48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终结性评价（40%）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F3A6B33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综合实操考核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AD4908A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项目二（税种申报）、项目四（全流程处理）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2CB18F9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企业季度税费综合处理（核算 + 申报 + 风险排查 + 筹划建议）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BE8FA02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 流程完整性：覆盖 “发票审核 - 税费计算 - 智能申报 - 风险扫描 - 筹划建议” 全环节，无遗漏；2. 合规性：税费计算、申报数据、筹划方案符合《税收征管法》及相关政策要求；3. 成果质量：申报数据勾稽关系正确，风险排查到位，筹划建议可行。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16D5845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 方法：闭卷实操考核，教师 + 企业导师联合阅卷；2. 工具：考核专用企业数据集、实操考核评分细则（含合规性、准确性、完整性指标）；3. 场所：校内智能财税虚拟仿真实训中心。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656EB9D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40</w:t>
            </w:r>
          </w:p>
        </w:tc>
      </w:tr>
      <w:tr w14:paraId="5998E9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0F77753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附加评价（加分项）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3B62BAD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职业技能认证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F8CE139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项目四（认证准备）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27D0E5A2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“智能财税应用师（税务方向）”“个税师（初级）” 认证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DE24305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取得证书或模拟考试≥90 分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C4E4AFE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 方法：证书核验 + 模拟成绩验证；2. 工具：认证证书扫描件、模拟考试成绩单；3. 场所：线上认证平台 + 校内实训室。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5898ABA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≤5</w:t>
            </w:r>
          </w:p>
        </w:tc>
      </w:tr>
      <w:tr w14:paraId="6DCEC3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F0AAFC0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937B4C4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学科竞赛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095D0EF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项目三（筹划风控）、项目四（综合应用）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E36B890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校级税务案例分析大赛 / 智能财税竞赛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E9BAE6A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获得校级及以上奖项（一等奖 / 二等奖 / 三等奖）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9D7B175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 方法：竞赛获奖证书核验；2. 工具：竞赛获奖证书扫描件；3. 场所：竞赛举办场地（校内 / 校外）。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E1BDFA9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≤5</w:t>
            </w:r>
          </w:p>
        </w:tc>
      </w:tr>
    </w:tbl>
    <w:p w14:paraId="682D275B">
      <w:pPr>
        <w:pStyle w:val="3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（三）成绩等级划分</w:t>
      </w:r>
    </w:p>
    <w:p w14:paraId="0A920CDC">
      <w:pPr>
        <w:pStyle w:val="11"/>
        <w:numPr>
          <w:ilvl w:val="0"/>
          <w:numId w:val="8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b/>
          <w:bCs/>
          <w:color w:val="000000" w:themeColor="text1"/>
          <w14:textFill>
            <w14:solidFill>
              <w14:schemeClr w14:val="tx1"/>
            </w14:solidFill>
          </w14:textFill>
        </w:rPr>
        <w:t>优秀（90-100 分）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：过程性评价≥54 分，终结性评价≥36 分，且附加评价至少满足 1 项，能独立设计合规税务筹划方案，熟练运用智能工具解决复杂税务问题（如多税种融合申报）；</w:t>
      </w:r>
    </w:p>
    <w:p w14:paraId="7025C057">
      <w:pPr>
        <w:pStyle w:val="11"/>
        <w:numPr>
          <w:ilvl w:val="0"/>
          <w:numId w:val="8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b/>
          <w:bCs/>
          <w:color w:val="000000" w:themeColor="text1"/>
          <w14:textFill>
            <w14:solidFill>
              <w14:schemeClr w14:val="tx1"/>
            </w14:solidFill>
          </w14:textFill>
        </w:rPr>
        <w:t>良好（80-89 分）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：过程性评价≥48 分，终结性评价≥32 分，能独立完成核心税种智慧化处理（核算 + 申报 + 基础风控），智能工具应用熟练；</w:t>
      </w:r>
    </w:p>
    <w:p w14:paraId="6902884D">
      <w:pPr>
        <w:pStyle w:val="11"/>
        <w:numPr>
          <w:ilvl w:val="0"/>
          <w:numId w:val="8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b/>
          <w:bCs/>
          <w:color w:val="000000" w:themeColor="text1"/>
          <w14:textFill>
            <w14:solidFill>
              <w14:schemeClr w14:val="tx1"/>
            </w14:solidFill>
          </w14:textFill>
        </w:rPr>
        <w:t>合格（60-79 分）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：过程性评价≥36 分，终结性评价≥24 分，能在指导下完成基础税费处理（如单一税种申报），无重大合规性错误；</w:t>
      </w:r>
    </w:p>
    <w:p w14:paraId="24E5628A">
      <w:pPr>
        <w:pStyle w:val="11"/>
        <w:numPr>
          <w:ilvl w:val="0"/>
          <w:numId w:val="8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b/>
          <w:bCs/>
          <w:color w:val="000000" w:themeColor="text1"/>
          <w14:textFill>
            <w14:solidFill>
              <w14:schemeClr w14:val="tx1"/>
            </w14:solidFill>
          </w14:textFill>
        </w:rPr>
        <w:t>不合格（＜60 分）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：未达到合格标准，或存在严重合规性错误（如故意虚算税费、编造筹划方案），需参加补考（补考形式：实操重训 + 综合考核）。</w:t>
      </w:r>
    </w:p>
    <w:p w14:paraId="26B9F9A3">
      <w:pPr>
        <w:pStyle w:val="2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八、教学资源</w:t>
      </w:r>
    </w:p>
    <w:p w14:paraId="4C2E98AF">
      <w:pPr>
        <w:pStyle w:val="3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（一）主要参考教材</w:t>
      </w:r>
    </w:p>
    <w:p w14:paraId="4E535FC8">
      <w:pPr>
        <w:pStyle w:val="11"/>
        <w:numPr>
          <w:ilvl w:val="0"/>
          <w:numId w:val="9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b/>
          <w:bCs/>
          <w:color w:val="000000" w:themeColor="text1"/>
          <w14:textFill>
            <w14:solidFill>
              <w14:schemeClr w14:val="tx1"/>
            </w14:solidFill>
          </w14:textFill>
        </w:rPr>
        <w:t>核心教材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：《智慧化税费核算与申报（金税四期版）》，主编：王素荣，出版社：高等教育出版社，2024 年（符合 2025 版财务会计类专业教学标准，涵盖金税四期操作与智能工具应用）；</w:t>
      </w:r>
    </w:p>
    <w:p w14:paraId="63CB8A2B">
      <w:pPr>
        <w:pStyle w:val="11"/>
        <w:numPr>
          <w:ilvl w:val="0"/>
          <w:numId w:val="9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b/>
          <w:bCs/>
          <w:color w:val="000000" w:themeColor="text1"/>
          <w14:textFill>
            <w14:solidFill>
              <w14:schemeClr w14:val="tx1"/>
            </w14:solidFill>
          </w14:textFill>
        </w:rPr>
        <w:t>辅助教材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：《智能税务管理实务（用友税务云版）》，主编：用友教育研究院，出版社：人民邮电出版社，2024 年（匹配课程智能申报平台操作需求）。</w:t>
      </w:r>
    </w:p>
    <w:p w14:paraId="1DF318D4">
      <w:pPr>
        <w:pStyle w:val="3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（二）其他参考资料</w:t>
      </w:r>
    </w:p>
    <w:p w14:paraId="129643AF">
      <w:pPr>
        <w:pStyle w:val="11"/>
        <w:numPr>
          <w:ilvl w:val="0"/>
          <w:numId w:val="10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b/>
          <w:bCs/>
          <w:color w:val="000000" w:themeColor="text1"/>
          <w14:textFill>
            <w14:solidFill>
              <w14:schemeClr w14:val="tx1"/>
            </w14:solidFill>
          </w14:textFill>
        </w:rPr>
        <w:t>法规文件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：《中华人民共和国税收征收管理法（2024 年修订版）》《财政部 税务总局关于小微企业和个体工商户所得税优惠政策的公告（2024 年第 5 号）》《金税四期征管操作指引（国家税务总局发布）》《数据安全法》；</w:t>
      </w:r>
    </w:p>
    <w:p w14:paraId="533BF122">
      <w:pPr>
        <w:pStyle w:val="11"/>
        <w:numPr>
          <w:ilvl w:val="0"/>
          <w:numId w:val="10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b/>
          <w:bCs/>
          <w:color w:val="000000" w:themeColor="text1"/>
          <w14:textFill>
            <w14:solidFill>
              <w14:schemeClr w14:val="tx1"/>
            </w14:solidFill>
          </w14:textFill>
        </w:rPr>
        <w:t>行业报告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：《中国智能税务发展白皮书（2024）》（用友研究院、中国注册税务师协会联合发布）《大数据与会计专业税务岗位能力需求报告》（高职财经类专业教指委发布）；</w:t>
      </w:r>
    </w:p>
    <w:p w14:paraId="3AA7D215">
      <w:pPr>
        <w:pStyle w:val="11"/>
        <w:numPr>
          <w:ilvl w:val="0"/>
          <w:numId w:val="10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b/>
          <w:bCs/>
          <w:color w:val="000000" w:themeColor="text1"/>
          <w14:textFill>
            <w14:solidFill>
              <w14:schemeClr w14:val="tx1"/>
            </w14:solidFill>
          </w14:textFill>
        </w:rPr>
        <w:t>案例集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：《智慧化税费管理典型案例解析（含筹划与风控案例）》，主编：刘颖，出版社：立信会计出版社，2024 年。</w:t>
      </w:r>
    </w:p>
    <w:p w14:paraId="4E567FA8">
      <w:pPr>
        <w:pStyle w:val="3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（三）实训条件</w:t>
      </w:r>
    </w:p>
    <w:p w14:paraId="4AF1AB52">
      <w:pPr>
        <w:pStyle w:val="4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1. 校内实训条件</w:t>
      </w:r>
    </w:p>
    <w:p w14:paraId="6F2E8600">
      <w:pPr>
        <w:pStyle w:val="11"/>
        <w:rPr>
          <w:color w:val="000000" w:themeColor="text1"/>
          <w14:textFill>
            <w14:solidFill>
              <w14:schemeClr w14:val="tx1"/>
            </w14:solidFill>
          </w14:textFill>
        </w:rPr>
      </w:pPr>
    </w:p>
    <w:tbl>
      <w:tblPr>
        <w:tblStyle w:val="9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2049"/>
        <w:gridCol w:w="2193"/>
        <w:gridCol w:w="2186"/>
        <w:gridCol w:w="2118"/>
      </w:tblGrid>
      <w:tr w14:paraId="1ACECE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A0E7585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实训场所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AA2002F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硬件设施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0D3F899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软件设施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6B18903E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功能用途</w:t>
            </w:r>
          </w:p>
        </w:tc>
      </w:tr>
      <w:tr w14:paraId="335FC6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88F7917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智能财税实训室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B9EAC49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 高性能计算机 60 台（CPU i5 及以上，内存 8G 及以上）；2. 千兆网络环境、投影仪、智慧黑板；3. 发票扫描仪（支持数电发票识别）、打印机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0176F94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 金税四期模拟系统（含发票管理、申报缴税、风险预警模块）；2. 用友税务云平台（含多税种申报、智能风控功能）；3. 网中网智能税务实训平台；4. 自然人电子税务局（扣缴端模拟版）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A95A4B0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 税费核算、智能申报实训；2. 发票管理、税务风险扫描实训；3. 个税代扣代缴实训</w:t>
            </w:r>
          </w:p>
        </w:tc>
      </w:tr>
      <w:tr w14:paraId="64A936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637F106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智能财税虚拟仿真实训中心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EDEFA8A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 虚拟仿真服务器（支持 60 人同时在线）；2. VR 设备 10 套（可选）；3. 多媒体交互屏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8774FDA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 企业全流程税务虚拟仿真系统；2. 业税融合模拟系统（含业务 - 税务数据对接功能）；3. 税务稽查模拟系统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964C4F8">
            <w:pPr>
              <w:pStyle w:val="11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 企业季度 / 年度税费全流程虚拟实训；2. 业税数据关联验证实训；3. 税务稽查应对模拟实训</w:t>
            </w:r>
          </w:p>
        </w:tc>
      </w:tr>
    </w:tbl>
    <w:p w14:paraId="5BB53E53">
      <w:pPr>
        <w:pStyle w:val="4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2. 校外实训条件</w:t>
      </w:r>
    </w:p>
    <w:p w14:paraId="4CC3DF95">
      <w:pPr>
        <w:pStyle w:val="11"/>
        <w:ind w:firstLine="440" w:firstLineChars="200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依托学校 8 家校外实训基地（如贵州爱信诺航天信息有限公司、贵州黔元会计师事务所有限公司、贵州华税税务师事务所），提供以下实训支持：</w:t>
      </w:r>
    </w:p>
    <w:p w14:paraId="5DE0D5B3">
      <w:pPr>
        <w:pStyle w:val="11"/>
        <w:numPr>
          <w:ilvl w:val="0"/>
          <w:numId w:val="11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b/>
          <w:bCs/>
          <w:color w:val="000000" w:themeColor="text1"/>
          <w14:textFill>
            <w14:solidFill>
              <w14:schemeClr w14:val="tx1"/>
            </w14:solidFill>
          </w14:textFill>
        </w:rPr>
        <w:t>岗位见习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：安排学生在企业税务会计岗、税务师事务所助理岗见习，参与真实税务处理（如发票审核、申报辅助、筹划方案整理）；</w:t>
      </w:r>
    </w:p>
    <w:p w14:paraId="70D9EC5C">
      <w:pPr>
        <w:pStyle w:val="11"/>
        <w:numPr>
          <w:ilvl w:val="0"/>
          <w:numId w:val="11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b/>
          <w:bCs/>
          <w:color w:val="000000" w:themeColor="text1"/>
          <w14:textFill>
            <w14:solidFill>
              <w14:schemeClr w14:val="tx1"/>
            </w14:solidFill>
          </w14:textFill>
        </w:rPr>
        <w:t>真实数据集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：企业提供脱敏后的真实税务数据（如月度增值税申报数据、季度所得税核算数据），用于课程综合实训；</w:t>
      </w:r>
    </w:p>
    <w:p w14:paraId="2474F200">
      <w:pPr>
        <w:pStyle w:val="11"/>
        <w:numPr>
          <w:ilvl w:val="0"/>
          <w:numId w:val="11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b/>
          <w:bCs/>
          <w:color w:val="000000" w:themeColor="text1"/>
          <w14:textFill>
            <w14:solidFill>
              <w14:schemeClr w14:val="tx1"/>
            </w14:solidFill>
          </w14:textFill>
        </w:rPr>
        <w:t>企业导师指导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：企业税务负责人定期到校授课（如讲解金税四期实操痛点）或线上点评学生实训成果，提供行业最新税务实践案例（如减税降费新政应用）。</w:t>
      </w:r>
    </w:p>
    <w:p w14:paraId="2E2D85FB">
      <w:pPr>
        <w:pStyle w:val="3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（四）信息化教学资源</w:t>
      </w:r>
    </w:p>
    <w:p w14:paraId="380AD493">
      <w:pPr>
        <w:pStyle w:val="11"/>
        <w:numPr>
          <w:ilvl w:val="0"/>
          <w:numId w:val="12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b/>
          <w:bCs/>
          <w:color w:val="000000" w:themeColor="text1"/>
          <w14:textFill>
            <w14:solidFill>
              <w14:schemeClr w14:val="tx1"/>
            </w14:solidFill>
          </w14:textFill>
        </w:rPr>
        <w:t>在线课程资源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：</w:t>
      </w:r>
    </w:p>
    <w:p w14:paraId="3EDE9F07">
      <w:pPr>
        <w:pStyle w:val="11"/>
        <w:numPr>
          <w:ilvl w:val="1"/>
          <w:numId w:val="13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国家精品在线课程：《税务会计与纳税筹划》（中国大学 MOOC，东北财经大学开设）；</w:t>
      </w:r>
    </w:p>
    <w:p w14:paraId="7D32011F">
      <w:pPr>
        <w:pStyle w:val="11"/>
        <w:numPr>
          <w:ilvl w:val="1"/>
          <w:numId w:val="13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校级在线课程：《智慧化税费实操（金税四期版）》（超星学习通平台，含微课、课件、实训任务单，每月更新税收新政解读）；</w:t>
      </w:r>
    </w:p>
    <w:p w14:paraId="367C7DDE">
      <w:pPr>
        <w:pStyle w:val="11"/>
        <w:numPr>
          <w:ilvl w:val="0"/>
          <w:numId w:val="14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b/>
          <w:bCs/>
          <w:color w:val="000000" w:themeColor="text1"/>
          <w14:textFill>
            <w14:solidFill>
              <w14:schemeClr w14:val="tx1"/>
            </w14:solidFill>
          </w14:textFill>
        </w:rPr>
        <w:t>数字资源库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：</w:t>
      </w:r>
    </w:p>
    <w:p w14:paraId="56F5800D">
      <w:pPr>
        <w:pStyle w:val="11"/>
        <w:numPr>
          <w:ilvl w:val="1"/>
          <w:numId w:val="13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税收法规数据库（实时更新《税法》《税收优惠政策》，链接国家税务总局官网政策专栏）；</w:t>
      </w:r>
    </w:p>
    <w:p w14:paraId="5220BBF1">
      <w:pPr>
        <w:pStyle w:val="11"/>
        <w:numPr>
          <w:ilvl w:val="1"/>
          <w:numId w:val="13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智能税务工具教程库（金税四期操作视频、用友税务云申报教程、个税扣缴端操作指南）；</w:t>
      </w:r>
    </w:p>
    <w:p w14:paraId="3AD90DA1">
      <w:pPr>
        <w:pStyle w:val="11"/>
        <w:numPr>
          <w:ilvl w:val="1"/>
          <w:numId w:val="13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案例资源库（含制造业、服务业、小微企业等多行业税务案例，涵盖核算、申报、筹划场景）；</w:t>
      </w:r>
    </w:p>
    <w:p w14:paraId="0521B302">
      <w:pPr>
        <w:pStyle w:val="11"/>
        <w:numPr>
          <w:ilvl w:val="0"/>
          <w:numId w:val="15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b/>
          <w:bCs/>
          <w:color w:val="000000" w:themeColor="text1"/>
          <w14:textFill>
            <w14:solidFill>
              <w14:schemeClr w14:val="tx1"/>
            </w14:solidFill>
          </w14:textFill>
        </w:rPr>
        <w:t>互动平台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：</w:t>
      </w:r>
    </w:p>
    <w:p w14:paraId="19FF163A">
      <w:pPr>
        <w:pStyle w:val="11"/>
        <w:numPr>
          <w:ilvl w:val="1"/>
          <w:numId w:val="13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超星学习通（用于提交作业、开展税务政策讨论、发布学习资源）；</w:t>
      </w:r>
    </w:p>
    <w:p w14:paraId="5379221A">
      <w:pPr>
        <w:pStyle w:val="11"/>
        <w:numPr>
          <w:ilvl w:val="1"/>
          <w:numId w:val="13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企业微信工作群（连接校内教师与企业税务导师，实时解答学生税务实操疑问）；</w:t>
      </w:r>
    </w:p>
    <w:p w14:paraId="5EB206B5">
      <w:pPr>
        <w:pStyle w:val="11"/>
        <w:numPr>
          <w:ilvl w:val="1"/>
          <w:numId w:val="13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国家税务总局 “税务课堂”（引导学生自主学习最新政策解读与操作指南）。</w:t>
      </w:r>
    </w:p>
    <w:p w14:paraId="5412B9CD">
      <w:pPr>
        <w:pStyle w:val="2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九、师资要求</w:t>
      </w:r>
    </w:p>
    <w:p w14:paraId="6FDA4FD8">
      <w:pPr>
        <w:pStyle w:val="11"/>
        <w:ind w:firstLine="440" w:firstLineChars="200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为满足课程 “理实一体、智慧化导向、产教融合” 的教学需求，结合学校观测要求中 “师资能力双门槛”（专业能力 + 实践能力），对课程师资提出以下要求：</w:t>
      </w:r>
    </w:p>
    <w:p w14:paraId="7FFC7EC8">
      <w:pPr>
        <w:pStyle w:val="3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（一）基本资质</w:t>
      </w:r>
    </w:p>
    <w:p w14:paraId="1A76B957">
      <w:pPr>
        <w:pStyle w:val="11"/>
        <w:numPr>
          <w:ilvl w:val="0"/>
          <w:numId w:val="16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b/>
          <w:bCs/>
          <w:color w:val="000000" w:themeColor="text1"/>
          <w14:textFill>
            <w14:solidFill>
              <w14:schemeClr w14:val="tx1"/>
            </w14:solidFill>
          </w14:textFill>
        </w:rPr>
        <w:t>学历与专业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：具备会计学、财务管理、税收学等相关专业硕士及以上学历（或本科 + 中级会计师 / 中级税务师及以上职称）；</w:t>
      </w:r>
    </w:p>
    <w:p w14:paraId="7060AC35">
      <w:pPr>
        <w:pStyle w:val="11"/>
        <w:numPr>
          <w:ilvl w:val="0"/>
          <w:numId w:val="16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b/>
          <w:bCs/>
          <w:color w:val="000000" w:themeColor="text1"/>
          <w14:textFill>
            <w14:solidFill>
              <w14:schemeClr w14:val="tx1"/>
            </w14:solidFill>
          </w14:textFill>
        </w:rPr>
        <w:t>教师资格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：持有高校教师资格证，熟悉高职教育教学规律，理解大数据与会计专业人才培养定位；</w:t>
      </w:r>
    </w:p>
    <w:p w14:paraId="4210CD5F">
      <w:pPr>
        <w:pStyle w:val="11"/>
        <w:numPr>
          <w:ilvl w:val="0"/>
          <w:numId w:val="16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b/>
          <w:bCs/>
          <w:color w:val="000000" w:themeColor="text1"/>
          <w14:textFill>
            <w14:solidFill>
              <w14:schemeClr w14:val="tx1"/>
            </w14:solidFill>
          </w14:textFill>
        </w:rPr>
        <w:t>技术资质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：需持有以下至少 1 项技术证书，确保智慧化工具教学能力：</w:t>
      </w:r>
    </w:p>
    <w:p w14:paraId="2AAFFD6B">
      <w:pPr>
        <w:pStyle w:val="11"/>
        <w:numPr>
          <w:ilvl w:val="1"/>
          <w:numId w:val="13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工信部 “智能财税应用师（税务方向，中级）” 证书；</w:t>
      </w:r>
    </w:p>
    <w:p w14:paraId="02ADD918">
      <w:pPr>
        <w:pStyle w:val="11"/>
        <w:numPr>
          <w:ilvl w:val="1"/>
          <w:numId w:val="13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用友税务云平台认证讲师证书；</w:t>
      </w:r>
    </w:p>
    <w:p w14:paraId="65F71B3C">
      <w:pPr>
        <w:pStyle w:val="11"/>
        <w:numPr>
          <w:ilvl w:val="1"/>
          <w:numId w:val="13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国家税务总局 “税收信息化操作培训师” 证书；</w:t>
      </w:r>
    </w:p>
    <w:p w14:paraId="1A2BA194">
      <w:pPr>
        <w:pStyle w:val="11"/>
        <w:numPr>
          <w:ilvl w:val="1"/>
          <w:numId w:val="13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“个税师（高级）” 或 “税务师” 职业资格证书。</w:t>
      </w:r>
    </w:p>
    <w:p w14:paraId="2DCA8538">
      <w:pPr>
        <w:pStyle w:val="3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（二）教学能力</w:t>
      </w:r>
    </w:p>
    <w:p w14:paraId="2C571310">
      <w:pPr>
        <w:pStyle w:val="11"/>
        <w:numPr>
          <w:ilvl w:val="0"/>
          <w:numId w:val="17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b/>
          <w:bCs/>
          <w:color w:val="000000" w:themeColor="text1"/>
          <w14:textFill>
            <w14:solidFill>
              <w14:schemeClr w14:val="tx1"/>
            </w14:solidFill>
          </w14:textFill>
        </w:rPr>
        <w:t>专业能力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：</w:t>
      </w:r>
    </w:p>
    <w:p w14:paraId="40ABC866">
      <w:pPr>
        <w:pStyle w:val="11"/>
        <w:numPr>
          <w:ilvl w:val="1"/>
          <w:numId w:val="13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熟练掌握《税收征管法》《增值税暂行条例》《企业所得税法》等法规，能准确解读最新税收政策（如减税降费新政）；</w:t>
      </w:r>
    </w:p>
    <w:p w14:paraId="7DFBE1D2">
      <w:pPr>
        <w:pStyle w:val="11"/>
        <w:numPr>
          <w:ilvl w:val="1"/>
          <w:numId w:val="13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精通风税四期模拟系统、用友税务云、个税扣缴端等智能工具操作，能指导学生解决工具实操难题（如申报数据校验不通过、发票勾选失败）；</w:t>
      </w:r>
    </w:p>
    <w:p w14:paraId="78B9E080">
      <w:pPr>
        <w:pStyle w:val="11"/>
        <w:numPr>
          <w:ilvl w:val="1"/>
          <w:numId w:val="13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具备企业税务实践经验（如 3 年以上企业税务会计工作经历或 6 个月以上税务师事务所实践经历），能结合真实税务案例（如企业所得税汇算清缴）授课；</w:t>
      </w:r>
    </w:p>
    <w:p w14:paraId="59A51728">
      <w:pPr>
        <w:pStyle w:val="11"/>
        <w:numPr>
          <w:ilvl w:val="0"/>
          <w:numId w:val="18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b/>
          <w:bCs/>
          <w:color w:val="000000" w:themeColor="text1"/>
          <w14:textFill>
            <w14:solidFill>
              <w14:schemeClr w14:val="tx1"/>
            </w14:solidFill>
          </w14:textFill>
        </w:rPr>
        <w:t>教学方法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：</w:t>
      </w:r>
    </w:p>
    <w:p w14:paraId="5BAD2744">
      <w:pPr>
        <w:pStyle w:val="11"/>
        <w:numPr>
          <w:ilvl w:val="1"/>
          <w:numId w:val="13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能运用案例教学、项目教学、情境模拟（如税务稽查角色扮演）等方法，实现 “理实一体” 教学，避免纯理论讲授；</w:t>
      </w:r>
    </w:p>
    <w:p w14:paraId="24059298">
      <w:pPr>
        <w:pStyle w:val="11"/>
        <w:numPr>
          <w:ilvl w:val="1"/>
          <w:numId w:val="13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能利用信息化工具（如超星学习通、虚拟仿真系统）开展混合式教学，提升学生自主学习能力；</w:t>
      </w:r>
    </w:p>
    <w:p w14:paraId="4B18699E">
      <w:pPr>
        <w:pStyle w:val="11"/>
        <w:numPr>
          <w:ilvl w:val="1"/>
          <w:numId w:val="13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能设计课程思政载体，将诚信纳税、数据安全、家国情怀等思政元素有机融入税务教学场景；</w:t>
      </w:r>
    </w:p>
    <w:p w14:paraId="657648B4">
      <w:pPr>
        <w:pStyle w:val="11"/>
        <w:numPr>
          <w:ilvl w:val="0"/>
          <w:numId w:val="19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b/>
          <w:bCs/>
          <w:color w:val="000000" w:themeColor="text1"/>
          <w14:textFill>
            <w14:solidFill>
              <w14:schemeClr w14:val="tx1"/>
            </w14:solidFill>
          </w14:textFill>
        </w:rPr>
        <w:t>产教融合能力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：</w:t>
      </w:r>
    </w:p>
    <w:p w14:paraId="52A50A08">
      <w:pPr>
        <w:pStyle w:val="11"/>
        <w:numPr>
          <w:ilvl w:val="1"/>
          <w:numId w:val="13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能与校外实训基地企业对接，获取真实税务数据集与行业案例，更新教学内容；</w:t>
      </w:r>
    </w:p>
    <w:p w14:paraId="313DD7DB">
      <w:pPr>
        <w:pStyle w:val="11"/>
        <w:numPr>
          <w:ilvl w:val="1"/>
          <w:numId w:val="13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能邀请企业税务导师参与课程教学（如共同授课、点评学生筹划方案、指导实训）；</w:t>
      </w:r>
    </w:p>
    <w:p w14:paraId="67A1965C">
      <w:pPr>
        <w:pStyle w:val="11"/>
        <w:numPr>
          <w:ilvl w:val="1"/>
          <w:numId w:val="13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能参与企业税务咨询项目（如为小微企业提供税收优惠应用指导），将行业最新实践（如金税四期风控要点）融入课程。</w:t>
      </w:r>
    </w:p>
    <w:p w14:paraId="4FF56C3D">
      <w:pPr>
        <w:pStyle w:val="3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（三）持续发展要求</w:t>
      </w:r>
    </w:p>
    <w:p w14:paraId="105ABBD7">
      <w:pPr>
        <w:pStyle w:val="11"/>
        <w:numPr>
          <w:ilvl w:val="0"/>
          <w:numId w:val="20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b/>
          <w:bCs/>
          <w:color w:val="000000" w:themeColor="text1"/>
          <w14:textFill>
            <w14:solidFill>
              <w14:schemeClr w14:val="tx1"/>
            </w14:solidFill>
          </w14:textFill>
        </w:rPr>
        <w:t>政策与技术更新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：每年参与至少 1 次税收政策与智慧化工具培训（如国家税务总局组织的金税四期功能更新培训、智能财税工具新版本培训），确保教学内容与行业同步；</w:t>
      </w:r>
    </w:p>
    <w:p w14:paraId="598E38AA">
      <w:pPr>
        <w:pStyle w:val="11"/>
        <w:numPr>
          <w:ilvl w:val="0"/>
          <w:numId w:val="20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b/>
          <w:bCs/>
          <w:color w:val="000000" w:themeColor="text1"/>
          <w14:textFill>
            <w14:solidFill>
              <w14:schemeClr w14:val="tx1"/>
            </w14:solidFill>
          </w14:textFill>
        </w:rPr>
        <w:t>企业实践经历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：每 5 年累计不少于 6 个月的企业税务实践经历（如在合作企业税务部门参与申报、筹划项目，或在税务师事务所参与税务审计）；</w:t>
      </w:r>
    </w:p>
    <w:p w14:paraId="7E92B96F">
      <w:pPr>
        <w:pStyle w:val="11"/>
        <w:numPr>
          <w:ilvl w:val="0"/>
          <w:numId w:val="20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b/>
          <w:bCs/>
          <w:color w:val="000000" w:themeColor="text1"/>
          <w14:textFill>
            <w14:solidFill>
              <w14:schemeClr w14:val="tx1"/>
            </w14:solidFill>
          </w14:textFill>
        </w:rPr>
        <w:t>教学研究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：每年发表 1 篇以上税务教学或职业教育相关论文（如智慧化税费教学方法研究），或参与 1 项校级及以上税务相关教学改革项目（如 “金税四期背景下税务实训课程设计”）。</w:t>
      </w:r>
    </w:p>
    <w:p w14:paraId="41BA8AF1">
      <w:pPr>
        <w:pStyle w:val="2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十、其它说明</w:t>
      </w:r>
    </w:p>
    <w:p w14:paraId="40AB5649">
      <w:pPr>
        <w:pStyle w:val="11"/>
        <w:numPr>
          <w:ilvl w:val="0"/>
          <w:numId w:val="21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b/>
          <w:bCs/>
          <w:color w:val="000000" w:themeColor="text1"/>
          <w14:textFill>
            <w14:solidFill>
              <w14:schemeClr w14:val="tx1"/>
            </w14:solidFill>
          </w14:textFill>
        </w:rPr>
        <w:t>课程衔接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：</w:t>
      </w:r>
    </w:p>
    <w:p w14:paraId="1AF9931D">
      <w:pPr>
        <w:pStyle w:val="11"/>
        <w:numPr>
          <w:ilvl w:val="1"/>
          <w:numId w:val="13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前置课程：需完成《企业财务会计》《经济法基础》《税法基础》学习，确保学生具备会计核算基础（如税费科目运用）、法规常识（如基本税种认知），避免教学内容重复；</w:t>
      </w:r>
    </w:p>
    <w:p w14:paraId="70406915">
      <w:pPr>
        <w:pStyle w:val="11"/>
        <w:numPr>
          <w:ilvl w:val="1"/>
          <w:numId w:val="13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后续课程：为《智能审计》（税务审计模块）、《企业内部控制》（税务风险管控模块）、《财务大数据分析（税务方向）》（税务风险预测模型）提供税务数据与技能支撑，建议后续课程结合本课程 “税费核算数据”“风险排查结果” 深化教学；</w:t>
      </w:r>
    </w:p>
    <w:p w14:paraId="57ECDAD3">
      <w:pPr>
        <w:pStyle w:val="11"/>
        <w:numPr>
          <w:ilvl w:val="0"/>
          <w:numId w:val="22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b/>
          <w:bCs/>
          <w:color w:val="000000" w:themeColor="text1"/>
          <w14:textFill>
            <w14:solidFill>
              <w14:schemeClr w14:val="tx1"/>
            </w14:solidFill>
          </w14:textFill>
        </w:rPr>
        <w:t>弹性调整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：</w:t>
      </w:r>
    </w:p>
    <w:p w14:paraId="1EA6A1B6">
      <w:pPr>
        <w:pStyle w:val="11"/>
        <w:numPr>
          <w:ilvl w:val="1"/>
          <w:numId w:val="13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若税收政策更新（如税率调整、税收优惠范围变化），需在政策生效前 1 个月内调整课程相关内容（如 “增值税税率调整后申报流程”“新优惠政策应用案例”），并更新实训任务数据；</w:t>
      </w:r>
    </w:p>
    <w:p w14:paraId="3411DEBB">
      <w:pPr>
        <w:pStyle w:val="11"/>
        <w:numPr>
          <w:ilvl w:val="1"/>
          <w:numId w:val="13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若智慧化工具（如金税四期、用友税务云）推出重大功能更新（如新增多税种合并申报模块），需同步更新实训操作指南与考核标准，确保教学内容与行业实践一致；</w:t>
      </w:r>
    </w:p>
    <w:p w14:paraId="6239E6BD">
      <w:pPr>
        <w:pStyle w:val="11"/>
        <w:numPr>
          <w:ilvl w:val="0"/>
          <w:numId w:val="23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b/>
          <w:bCs/>
          <w:color w:val="000000" w:themeColor="text1"/>
          <w14:textFill>
            <w14:solidFill>
              <w14:schemeClr w14:val="tx1"/>
            </w14:solidFill>
          </w14:textFill>
        </w:rPr>
        <w:t>特殊说明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：</w:t>
      </w:r>
    </w:p>
    <w:p w14:paraId="2B5578DD">
      <w:pPr>
        <w:pStyle w:val="11"/>
        <w:numPr>
          <w:ilvl w:val="1"/>
          <w:numId w:val="13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本课程实践学时占比 62.5%（40/64），符合高职教育 “实践为主、理论够用” 的要求，所有实践任务均基于真实税务岗位场景设计；</w:t>
      </w:r>
    </w:p>
    <w:p w14:paraId="0A09B389">
      <w:pPr>
        <w:pStyle w:val="11"/>
        <w:numPr>
          <w:ilvl w:val="1"/>
          <w:numId w:val="13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课程评价体系中 “附加评价” 鼓励学生考取税务相关职业证书、参与学科竞赛，呼应学校 “1+X” 证书制度试点与 “以赛促学” 导向；</w:t>
      </w:r>
    </w:p>
    <w:p w14:paraId="62E8ADDD">
      <w:pPr>
        <w:pStyle w:val="11"/>
        <w:numPr>
          <w:ilvl w:val="1"/>
          <w:numId w:val="13"/>
        </w:num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课程思政设计均结合税务职业场景（如发票审核、申报操作、筹划方案设计），避免思政元素与教学内容脱节，符合学校观测要求中 “思政元素有机融入” 的标准。</w:t>
      </w:r>
    </w:p>
    <w:p w14:paraId="27CD948E">
      <w:pPr>
        <w:ind w:left="0" w:leftChars="0" w:firstLine="0" w:firstLineChars="0"/>
        <w:rPr>
          <w:rFonts w:hint="eastAsia" w:ascii="宋体" w:hAnsi="宋体" w:eastAsia="宋体" w:cs="宋体"/>
          <w:bCs/>
          <w:kern w:val="36"/>
          <w:szCs w:val="36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560"/>
      </w:pPr>
      <w:r>
        <w:separator/>
      </w:r>
    </w:p>
  </w:endnote>
  <w:endnote w:type="continuationSeparator" w:id="1">
    <w:p>
      <w:pPr>
        <w:spacing w:line="240" w:lineRule="auto"/>
        <w:ind w:firstLine="56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流行体简体">
    <w:altName w:val="微软雅黑"/>
    <w:panose1 w:val="020B0604020202020204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隶书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B818456">
    <w:pPr>
      <w:pStyle w:val="5"/>
      <w:ind w:firstLine="360"/>
      <w:jc w:val="center"/>
    </w:pPr>
    <w:r>
      <w:rPr>
        <w:lang w:val="zh-CN"/>
      </w:rPr>
      <w:t xml:space="preserve"> </w:t>
    </w:r>
  </w:p>
  <w:p w14:paraId="350E46C0">
    <w:pPr>
      <w:pStyle w:val="5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882D0D9">
    <w:pPr>
      <w:pStyle w:val="5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83CC27B">
    <w:pPr>
      <w:pStyle w:val="5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560"/>
      </w:pPr>
      <w:r>
        <w:separator/>
      </w:r>
    </w:p>
  </w:footnote>
  <w:footnote w:type="continuationSeparator" w:id="1">
    <w:p>
      <w:pPr>
        <w:spacing w:line="240" w:lineRule="auto"/>
        <w:ind w:firstLine="56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F44C878">
    <w:pPr>
      <w:pStyle w:val="6"/>
      <w:pBdr>
        <w:bottom w:val="none" w:color="auto" w:sz="0" w:space="1"/>
      </w:pBdr>
      <w:spacing w:line="240" w:lineRule="atLeast"/>
      <w:ind w:firstLine="180" w:firstLineChars="100"/>
      <w:jc w:val="both"/>
      <w:rPr>
        <w:rFonts w:eastAsia="方正流行体简体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82FAC85">
    <w:pPr>
      <w:pStyle w:val="6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009BC44">
    <w:pPr>
      <w:pStyle w:val="6"/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E640482"/>
    <w:multiLevelType w:val="multilevel"/>
    <w:tmpl w:val="0E640482"/>
    <w:lvl w:ilvl="0" w:tentative="0">
      <w:start w:val="1"/>
      <w:numFmt w:val="bullet"/>
      <w:lvlText w:val="•"/>
      <w:lvlJc w:val="left"/>
      <w:pPr>
        <w:ind w:left="288" w:hanging="288"/>
      </w:pPr>
      <w:rPr>
        <w:color w:val="3370FF"/>
        <w:sz w:val="22"/>
        <w:szCs w:val="22"/>
      </w:rPr>
    </w:lvl>
    <w:lvl w:ilvl="1" w:tentative="0">
      <w:start w:val="1"/>
      <w:numFmt w:val="bullet"/>
      <w:lvlText w:val="◦"/>
      <w:lvlJc w:val="left"/>
      <w:pPr>
        <w:ind w:left="720" w:hanging="288"/>
      </w:pPr>
      <w:rPr>
        <w:rFonts w:hint="default"/>
        <w:color w:val="000000" w:themeColor="text1"/>
        <w:sz w:val="22"/>
        <w:szCs w:val="22"/>
        <w14:textFill>
          <w14:solidFill>
            <w14:schemeClr w14:val="tx1"/>
          </w14:solidFill>
        </w14:textFill>
      </w:rPr>
    </w:lvl>
    <w:lvl w:ilvl="2" w:tentative="0">
      <w:start w:val="1"/>
      <w:numFmt w:val="bullet"/>
      <w:lvlText w:val="▪"/>
      <w:lvlJc w:val="left"/>
      <w:pPr>
        <w:ind w:left="1152" w:hanging="288"/>
      </w:pPr>
      <w:rPr>
        <w:color w:val="3370FF"/>
        <w:sz w:val="22"/>
        <w:szCs w:val="22"/>
      </w:rPr>
    </w:lvl>
    <w:lvl w:ilvl="3" w:tentative="0">
      <w:start w:val="1"/>
      <w:numFmt w:val="bullet"/>
      <w:lvlText w:val="•"/>
      <w:lvlJc w:val="left"/>
      <w:pPr>
        <w:ind w:left="1583" w:hanging="288"/>
      </w:pPr>
      <w:rPr>
        <w:color w:val="3370FF"/>
        <w:sz w:val="22"/>
        <w:szCs w:val="22"/>
      </w:rPr>
    </w:lvl>
    <w:lvl w:ilvl="4" w:tentative="0">
      <w:start w:val="1"/>
      <w:numFmt w:val="bullet"/>
      <w:lvlText w:val="◦"/>
      <w:lvlJc w:val="left"/>
      <w:pPr>
        <w:ind w:left="2015" w:hanging="288"/>
      </w:pPr>
      <w:rPr>
        <w:color w:val="3370FF"/>
        <w:sz w:val="22"/>
        <w:szCs w:val="22"/>
      </w:rPr>
    </w:lvl>
    <w:lvl w:ilvl="5" w:tentative="0">
      <w:start w:val="1"/>
      <w:numFmt w:val="bullet"/>
      <w:lvlText w:val="▪"/>
      <w:lvlJc w:val="left"/>
      <w:pPr>
        <w:ind w:left="2448" w:hanging="288"/>
      </w:pPr>
      <w:rPr>
        <w:color w:val="3370FF"/>
        <w:sz w:val="22"/>
        <w:szCs w:val="22"/>
      </w:rPr>
    </w:lvl>
    <w:lvl w:ilvl="6" w:tentative="0">
      <w:start w:val="1"/>
      <w:numFmt w:val="bullet"/>
      <w:lvlText w:val="•"/>
      <w:lvlJc w:val="left"/>
      <w:pPr>
        <w:ind w:left="2879" w:hanging="288"/>
      </w:pPr>
      <w:rPr>
        <w:color w:val="3370FF"/>
        <w:sz w:val="22"/>
        <w:szCs w:val="22"/>
      </w:rPr>
    </w:lvl>
    <w:lvl w:ilvl="7" w:tentative="0">
      <w:start w:val="1"/>
      <w:numFmt w:val="bullet"/>
      <w:lvlText w:val="◦"/>
      <w:lvlJc w:val="left"/>
      <w:pPr>
        <w:ind w:left="3312" w:hanging="288"/>
      </w:pPr>
      <w:rPr>
        <w:color w:val="3370FF"/>
        <w:sz w:val="22"/>
        <w:szCs w:val="22"/>
      </w:rPr>
    </w:lvl>
    <w:lvl w:ilvl="8" w:tentative="0">
      <w:start w:val="1"/>
      <w:numFmt w:val="bullet"/>
      <w:lvlText w:val="▪"/>
      <w:lvlJc w:val="left"/>
      <w:pPr>
        <w:ind w:left="3744" w:hanging="288"/>
      </w:pPr>
      <w:rPr>
        <w:color w:val="3370FF"/>
        <w:sz w:val="22"/>
        <w:szCs w:val="22"/>
      </w:rPr>
    </w:lvl>
  </w:abstractNum>
  <w:abstractNum w:abstractNumId="1">
    <w:nsid w:val="4C1BAE26"/>
    <w:multiLevelType w:val="multilevel"/>
    <w:tmpl w:val="4C1BAE26"/>
    <w:lvl w:ilvl="0" w:tentative="0">
      <w:start w:val="1"/>
      <w:numFmt w:val="decimal"/>
      <w:lvlText w:val="%1."/>
      <w:lvlJc w:val="left"/>
      <w:pPr>
        <w:ind w:left="288" w:hanging="288"/>
      </w:pPr>
      <w:rPr>
        <w:rFonts w:hint="default"/>
        <w:color w:val="000000" w:themeColor="text1"/>
        <w:sz w:val="22"/>
        <w:szCs w:val="22"/>
        <w14:textFill>
          <w14:solidFill>
            <w14:schemeClr w14:val="tx1"/>
          </w14:solidFill>
        </w14:textFill>
      </w:rPr>
    </w:lvl>
    <w:lvl w:ilvl="1" w:tentative="0">
      <w:start w:val="1"/>
      <w:numFmt w:val="lowerLetter"/>
      <w:lvlText w:val="%2."/>
      <w:lvlJc w:val="left"/>
      <w:pPr>
        <w:ind w:left="720" w:hanging="288"/>
      </w:pPr>
      <w:rPr>
        <w:color w:val="3370FF"/>
        <w:sz w:val="22"/>
        <w:szCs w:val="22"/>
      </w:rPr>
    </w:lvl>
    <w:lvl w:ilvl="2" w:tentative="0">
      <w:start w:val="1"/>
      <w:numFmt w:val="lowerRoman"/>
      <w:lvlText w:val="%3."/>
      <w:lvlJc w:val="left"/>
      <w:pPr>
        <w:ind w:left="1152" w:hanging="288"/>
      </w:pPr>
      <w:rPr>
        <w:color w:val="3370FF"/>
        <w:sz w:val="22"/>
        <w:szCs w:val="22"/>
      </w:rPr>
    </w:lvl>
    <w:lvl w:ilvl="3" w:tentative="0">
      <w:start w:val="1"/>
      <w:numFmt w:val="decimal"/>
      <w:lvlText w:val="%4."/>
      <w:lvlJc w:val="left"/>
      <w:pPr>
        <w:ind w:left="1583" w:hanging="288"/>
      </w:pPr>
      <w:rPr>
        <w:color w:val="3370FF"/>
        <w:sz w:val="22"/>
        <w:szCs w:val="22"/>
      </w:rPr>
    </w:lvl>
    <w:lvl w:ilvl="4" w:tentative="0">
      <w:start w:val="1"/>
      <w:numFmt w:val="lowerLetter"/>
      <w:lvlText w:val="%5."/>
      <w:lvlJc w:val="left"/>
      <w:pPr>
        <w:ind w:left="2015" w:hanging="288"/>
      </w:pPr>
      <w:rPr>
        <w:color w:val="3370FF"/>
        <w:sz w:val="22"/>
        <w:szCs w:val="22"/>
      </w:rPr>
    </w:lvl>
    <w:lvl w:ilvl="5" w:tentative="0">
      <w:start w:val="1"/>
      <w:numFmt w:val="lowerRoman"/>
      <w:lvlText w:val="%6."/>
      <w:lvlJc w:val="left"/>
      <w:pPr>
        <w:ind w:left="2448" w:hanging="288"/>
      </w:pPr>
      <w:rPr>
        <w:color w:val="3370FF"/>
        <w:sz w:val="22"/>
        <w:szCs w:val="22"/>
      </w:rPr>
    </w:lvl>
    <w:lvl w:ilvl="6" w:tentative="0">
      <w:start w:val="1"/>
      <w:numFmt w:val="decimal"/>
      <w:lvlText w:val="%7."/>
      <w:lvlJc w:val="left"/>
      <w:pPr>
        <w:ind w:left="2879" w:hanging="288"/>
      </w:pPr>
      <w:rPr>
        <w:color w:val="3370FF"/>
        <w:sz w:val="22"/>
        <w:szCs w:val="22"/>
      </w:rPr>
    </w:lvl>
    <w:lvl w:ilvl="7" w:tentative="0">
      <w:start w:val="1"/>
      <w:numFmt w:val="lowerLetter"/>
      <w:lvlText w:val="%8."/>
      <w:lvlJc w:val="left"/>
      <w:pPr>
        <w:ind w:left="3312" w:hanging="288"/>
      </w:pPr>
      <w:rPr>
        <w:color w:val="3370FF"/>
        <w:sz w:val="22"/>
        <w:szCs w:val="22"/>
      </w:rPr>
    </w:lvl>
    <w:lvl w:ilvl="8" w:tentative="0">
      <w:start w:val="1"/>
      <w:numFmt w:val="lowerRoman"/>
      <w:lvlText w:val="%9."/>
      <w:lvlJc w:val="left"/>
      <w:pPr>
        <w:ind w:left="3744" w:hanging="288"/>
      </w:pPr>
      <w:rPr>
        <w:color w:val="3370FF"/>
        <w:sz w:val="22"/>
        <w:szCs w:val="22"/>
      </w:rPr>
    </w:lvl>
  </w:abstractNum>
  <w:num w:numId="1">
    <w:abstractNumId w:val="1"/>
    <w:lvlOverride w:ilvl="0">
      <w:startOverride w:val="1"/>
    </w:lvlOverride>
  </w:num>
  <w:num w:numId="2">
    <w:abstractNumId w:val="1"/>
    <w:lvlOverride w:ilvl="0">
      <w:startOverride w:val="1"/>
    </w:lvlOverride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1"/>
    <w:lvlOverride w:ilvl="0">
      <w:startOverride w:val="1"/>
    </w:lvlOverride>
  </w:num>
  <w:num w:numId="7">
    <w:abstractNumId w:val="1"/>
    <w:lvlOverride w:ilvl="0">
      <w:startOverride w:val="1"/>
    </w:lvlOverride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 w:numId="12">
    <w:abstractNumId w:val="1"/>
    <w:lvlOverride w:ilvl="0">
      <w:startOverride w:val="1"/>
    </w:lvlOverride>
  </w:num>
  <w:num w:numId="13">
    <w:abstractNumId w:val="0"/>
    <w:lvlOverride w:ilvl="0">
      <w:startOverride w:val="1"/>
    </w:lvlOverride>
  </w:num>
  <w:num w:numId="14">
    <w:abstractNumId w:val="1"/>
    <w:lvlOverride w:ilvl="0">
      <w:startOverride w:val="1"/>
    </w:lvlOverride>
  </w:num>
  <w:num w:numId="15">
    <w:abstractNumId w:val="1"/>
    <w:lvlOverride w:ilvl="0">
      <w:startOverride w:val="1"/>
    </w:lvlOverride>
  </w:num>
  <w:num w:numId="16">
    <w:abstractNumId w:val="1"/>
    <w:lvlOverride w:ilvl="0">
      <w:startOverride w:val="1"/>
    </w:lvlOverride>
  </w:num>
  <w:num w:numId="17">
    <w:abstractNumId w:val="1"/>
    <w:lvlOverride w:ilvl="0">
      <w:startOverride w:val="1"/>
    </w:lvlOverride>
  </w:num>
  <w:num w:numId="18">
    <w:abstractNumId w:val="1"/>
    <w:lvlOverride w:ilvl="0">
      <w:startOverride w:val="1"/>
    </w:lvlOverride>
  </w:num>
  <w:num w:numId="19">
    <w:abstractNumId w:val="1"/>
    <w:lvlOverride w:ilvl="0">
      <w:startOverride w:val="1"/>
    </w:lvlOverride>
  </w:num>
  <w:num w:numId="20">
    <w:abstractNumId w:val="1"/>
    <w:lvlOverride w:ilvl="0">
      <w:startOverride w:val="1"/>
    </w:lvlOverride>
  </w:num>
  <w:num w:numId="21">
    <w:abstractNumId w:val="1"/>
    <w:lvlOverride w:ilvl="0">
      <w:startOverride w:val="1"/>
    </w:lvlOverride>
  </w:num>
  <w:num w:numId="22">
    <w:abstractNumId w:val="1"/>
    <w:lvlOverride w:ilvl="0">
      <w:startOverride w:val="1"/>
    </w:lvlOverride>
  </w:num>
  <w:num w:numId="23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605E"/>
    <w:rsid w:val="00CE605E"/>
    <w:rsid w:val="095A4C91"/>
    <w:rsid w:val="40134B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semiHidden="0" w:name="toc 1"/>
    <w:lsdException w:qFormat="1" w:uiPriority="39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60" w:lineRule="exact"/>
      <w:ind w:firstLine="1160" w:firstLineChars="200"/>
      <w:jc w:val="both"/>
    </w:pPr>
    <w:rPr>
      <w:rFonts w:ascii="Times New Roman" w:hAnsi="Times New Roman" w:eastAsia="仿宋_GB2312" w:cs="Times New Roman"/>
      <w:kern w:val="2"/>
      <w:sz w:val="28"/>
      <w:szCs w:val="22"/>
      <w:lang w:val="en-US" w:eastAsia="zh-CN" w:bidi="ar-SA"/>
    </w:rPr>
  </w:style>
  <w:style w:type="paragraph" w:styleId="2">
    <w:name w:val="heading 1"/>
    <w:next w:val="1"/>
    <w:qFormat/>
    <w:uiPriority w:val="0"/>
    <w:pPr>
      <w:spacing w:before="380" w:after="140" w:line="288" w:lineRule="auto"/>
      <w:ind w:left="0"/>
      <w:jc w:val="left"/>
      <w:outlineLvl w:val="0"/>
    </w:pPr>
    <w:rPr>
      <w:rFonts w:ascii="Arial" w:hAnsi="Arial" w:eastAsia="等线" w:cs="Arial"/>
      <w:b/>
      <w:bCs/>
      <w:sz w:val="36"/>
      <w:szCs w:val="36"/>
    </w:rPr>
  </w:style>
  <w:style w:type="paragraph" w:styleId="3">
    <w:name w:val="heading 2"/>
    <w:next w:val="1"/>
    <w:qFormat/>
    <w:uiPriority w:val="0"/>
    <w:pPr>
      <w:spacing w:before="320" w:after="120" w:line="288" w:lineRule="auto"/>
      <w:ind w:left="0"/>
      <w:jc w:val="left"/>
      <w:outlineLvl w:val="1"/>
    </w:pPr>
    <w:rPr>
      <w:rFonts w:ascii="Arial" w:hAnsi="Arial" w:eastAsia="等线" w:cs="Arial"/>
      <w:b/>
      <w:bCs/>
      <w:sz w:val="32"/>
      <w:szCs w:val="32"/>
    </w:rPr>
  </w:style>
  <w:style w:type="paragraph" w:styleId="4">
    <w:name w:val="heading 3"/>
    <w:next w:val="1"/>
    <w:qFormat/>
    <w:uiPriority w:val="0"/>
    <w:pPr>
      <w:spacing w:before="300" w:after="120" w:line="288" w:lineRule="auto"/>
      <w:ind w:left="0"/>
      <w:jc w:val="left"/>
      <w:outlineLvl w:val="2"/>
    </w:pPr>
    <w:rPr>
      <w:rFonts w:ascii="Arial" w:hAnsi="Arial" w:eastAsia="等线" w:cs="Arial"/>
      <w:b/>
      <w:bCs/>
      <w:sz w:val="30"/>
      <w:szCs w:val="30"/>
    </w:rPr>
  </w:style>
  <w:style w:type="character" w:default="1" w:styleId="10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toc 1"/>
    <w:basedOn w:val="1"/>
    <w:next w:val="1"/>
    <w:unhideWhenUsed/>
    <w:qFormat/>
    <w:uiPriority w:val="39"/>
    <w:pPr>
      <w:spacing w:before="120" w:after="120"/>
      <w:jc w:val="left"/>
    </w:pPr>
    <w:rPr>
      <w:b/>
      <w:bCs/>
      <w:caps/>
      <w:szCs w:val="20"/>
    </w:rPr>
  </w:style>
  <w:style w:type="paragraph" w:styleId="8">
    <w:name w:val="toc 2"/>
    <w:basedOn w:val="1"/>
    <w:next w:val="1"/>
    <w:unhideWhenUsed/>
    <w:qFormat/>
    <w:uiPriority w:val="39"/>
    <w:pPr>
      <w:ind w:left="210"/>
      <w:jc w:val="left"/>
    </w:pPr>
    <w:rPr>
      <w:smallCaps/>
      <w:sz w:val="24"/>
      <w:szCs w:val="20"/>
    </w:rPr>
  </w:style>
  <w:style w:type="paragraph" w:customStyle="1" w:styleId="11">
    <w:name w:val="_Style 13"/>
    <w:qFormat/>
    <w:uiPriority w:val="0"/>
    <w:pPr>
      <w:spacing w:before="120" w:after="120" w:line="288" w:lineRule="auto"/>
      <w:ind w:left="0"/>
      <w:jc w:val="left"/>
    </w:pPr>
    <w:rPr>
      <w:rFonts w:ascii="Arial" w:hAnsi="Arial" w:eastAsia="等线" w:cs="Arial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numbering" Target="numbering.xml"/><Relationship Id="rId12" Type="http://schemas.openxmlformats.org/officeDocument/2006/relationships/image" Target="media/image1.jpeg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31</Pages>
  <Words>5361</Words>
  <Characters>5525</Characters>
  <Lines>0</Lines>
  <Paragraphs>0</Paragraphs>
  <TotalTime>2</TotalTime>
  <ScaleCrop>false</ScaleCrop>
  <LinksUpToDate>false</LinksUpToDate>
  <CharactersWithSpaces>5793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2025-09-04T06:06:00Z</dcterms:created>
  <dc:creator>C。</dc:creator>
  <cp:lastModifiedBy>祁乐。</cp:lastModifiedBy>
  <dcterms:modified xsi:type="dcterms:W3CDTF">2025-09-16T06:38:05Z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1A8601437E224C719EC96E403D82E58A</vt:lpwstr>
  </property>
</Properties>
</file>