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>
      <w:pPr>
        <w:spacing w:line="240" w:lineRule="auto"/>
        <w:ind w:firstLine="0" w:firstLineChars="0"/>
        <w:jc w:val="center"/>
        <w:rPr>
          <w:rFonts w:hint="eastAsia" w:ascii="黑体" w:hAnsi="楷体" w:eastAsia="黑体"/>
          <w:b/>
          <w:sz w:val="72"/>
          <w:szCs w:val="72"/>
          <w:lang w:eastAsia="zh-CN"/>
        </w:rPr>
      </w:pPr>
      <w:r>
        <w:rPr>
          <w:rFonts w:hint="eastAsia" w:ascii="黑体" w:hAnsi="楷体" w:eastAsia="黑体"/>
          <w:b/>
          <w:sz w:val="96"/>
          <w:szCs w:val="96"/>
          <w:lang w:eastAsia="zh-CN"/>
        </w:rPr>
        <w:t>《经济学</w:t>
      </w:r>
      <w:r>
        <w:rPr>
          <w:rFonts w:hint="eastAsia" w:ascii="黑体" w:hAnsi="楷体" w:eastAsia="黑体"/>
          <w:b/>
          <w:sz w:val="96"/>
          <w:szCs w:val="96"/>
          <w:lang w:val="en-US" w:eastAsia="zh-CN"/>
        </w:rPr>
        <w:t>原理</w:t>
      </w:r>
      <w:r>
        <w:rPr>
          <w:rFonts w:hint="eastAsia" w:ascii="黑体" w:hAnsi="楷体" w:eastAsia="黑体"/>
          <w:b/>
          <w:sz w:val="96"/>
          <w:szCs w:val="96"/>
          <w:lang w:eastAsia="zh-CN"/>
        </w:rPr>
        <w:t>》</w:t>
      </w:r>
    </w:p>
    <w:p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>
      <w:pPr>
        <w:ind w:firstLine="560"/>
      </w:pPr>
    </w:p>
    <w:p>
      <w:pPr>
        <w:ind w:firstLine="0" w:firstLineChars="0"/>
      </w:pPr>
    </w:p>
    <w:tbl>
      <w:tblPr>
        <w:tblStyle w:val="14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>
      <w:pPr>
        <w:ind w:firstLine="0" w:firstLineChars="0"/>
      </w:pPr>
    </w:p>
    <w:p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>
      <w:pPr>
        <w:snapToGrid w:val="0"/>
        <w:spacing w:line="360" w:lineRule="auto"/>
        <w:ind w:firstLine="2880" w:firstLineChars="800"/>
        <w:jc w:val="both"/>
        <w:rPr>
          <w:rFonts w:hint="eastAsia" w:eastAsia="仿宋_GB2312"/>
          <w:b/>
          <w:bCs/>
          <w:kern w:val="36"/>
          <w:sz w:val="36"/>
          <w:szCs w:val="36"/>
          <w:lang w:val="en-US" w:eastAsia="zh-CN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  <w:lang w:val="en-US" w:eastAsia="zh-CN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</w:rPr>
        <w:t>X</w:t>
      </w:r>
      <w:r>
        <w:rPr>
          <w:rFonts w:hint="eastAsia"/>
          <w:b/>
          <w:bCs/>
          <w:kern w:val="36"/>
          <w:sz w:val="36"/>
          <w:szCs w:val="36"/>
          <w:lang w:val="en-US" w:eastAsia="zh-CN"/>
        </w:rPr>
        <w:t>月</w:t>
      </w:r>
    </w:p>
    <w:p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1" w:firstLineChars="266"/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fldChar w:fldCharType="begin"/>
          </w:r>
          <w:r>
            <w:instrText xml:space="preserve"> HYPERLINK \l "_Toc2179" </w:instrText>
          </w:r>
          <w: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_Toc2179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"_Toc4255" </w:instrText>
          </w:r>
          <w:r>
            <w:fldChar w:fldCharType="separate"/>
          </w:r>
          <w:r>
            <w:rPr>
              <w:rFonts w:hint="eastAsia"/>
            </w:rPr>
            <w:t>二、课程任务</w:t>
          </w:r>
          <w:r>
            <w:tab/>
          </w:r>
          <w:r>
            <w:fldChar w:fldCharType="begin"/>
          </w:r>
          <w:r>
            <w:instrText xml:space="preserve"> PAGEREF _Toc4255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"_Toc1651" </w:instrText>
          </w:r>
          <w: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_Toc1651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"_Toc1453" </w:instrText>
          </w:r>
          <w: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_Toc1453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"_Toc1104" </w:instrText>
          </w:r>
          <w: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_Toc1104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"_Toc30755" </w:instrText>
          </w:r>
          <w: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_Toc30755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"_Toc24423" </w:instrText>
          </w:r>
          <w: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_Toc24423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"_Toc27541" </w:instrText>
          </w:r>
          <w: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_Toc27541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"_Toc8844" </w:instrText>
          </w:r>
          <w: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_Toc8844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"_Toc18126" </w:instrText>
          </w:r>
          <w: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_Toc18126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"_Toc11140" </w:instrText>
          </w:r>
          <w: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_Toc11140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"_Toc16925" </w:instrText>
          </w:r>
          <w: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_Toc16925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"_Toc17555" </w:instrText>
          </w:r>
          <w:r>
            <w:fldChar w:fldCharType="separate"/>
          </w:r>
          <w:r>
            <w:rPr>
              <w:rFonts w:hint="eastAsia"/>
            </w:rPr>
            <w:t>（二）其他参考资料</w:t>
          </w:r>
          <w:r>
            <w:tab/>
          </w:r>
          <w:r>
            <w:fldChar w:fldCharType="begin"/>
          </w:r>
          <w:r>
            <w:instrText xml:space="preserve"> PAGEREF _Toc17555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"_Toc27934" </w:instrText>
          </w:r>
          <w: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_Toc27934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"_Toc7079" </w:instrText>
          </w:r>
          <w: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_Toc7079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"_Toc12227" </w:instrText>
          </w:r>
          <w:r>
            <w:fldChar w:fldCharType="separate"/>
          </w:r>
          <w:r>
            <w:rPr>
              <w:rFonts w:hint="eastAsia"/>
            </w:rPr>
            <w:t>九、师资要求</w:t>
          </w:r>
          <w:r>
            <w:tab/>
          </w:r>
          <w:r>
            <w:fldChar w:fldCharType="begin"/>
          </w:r>
          <w:r>
            <w:instrText xml:space="preserve"> PAGEREF _Toc12227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"_Toc3001" </w:instrText>
          </w:r>
          <w: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_Toc3001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>
          <w:pPr>
            <w:snapToGrid w:val="0"/>
            <w:spacing w:line="520" w:lineRule="exact"/>
            <w:ind w:firstLine="560"/>
            <w:rPr>
              <w:rFonts w:ascii="宋体" w:hAnsi="宋体" w:eastAsia="宋体" w:cs="宋体"/>
              <w:bCs/>
              <w:kern w:val="36"/>
              <w:sz w:val="21"/>
              <w:szCs w:val="36"/>
            </w:r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>
          <w:pPr>
            <w:snapToGrid w:val="0"/>
            <w:spacing w:line="360" w:lineRule="auto"/>
            <w:ind w:firstLine="42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</w:p>
      </w:sdtContent>
    </w:sdt>
    <w:p>
      <w:pPr>
        <w:pStyle w:val="2"/>
        <w:ind w:firstLine="653"/>
      </w:pPr>
      <w:bookmarkStart w:id="0" w:name="_Toc502337258"/>
      <w:bookmarkStart w:id="1" w:name="_Toc10917"/>
      <w:bookmarkStart w:id="2" w:name="_Toc2179"/>
      <w:bookmarkStart w:id="3" w:name="_Toc16819"/>
      <w:bookmarkStart w:id="4" w:name="_Toc2469"/>
      <w:bookmarkStart w:id="5" w:name="_Toc8847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经济学原理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/>
                <w:sz w:val="24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 w:bidi="ar-SA"/>
              </w:rPr>
              <w:t>CWKJ012505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32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 xml:space="preserve">是             </w:t>
            </w:r>
            <w:r>
              <w:rPr>
                <w:rFonts w:hint="eastAsia"/>
                <w:sz w:val="24"/>
                <w:szCs w:val="21"/>
                <w:lang w:eastAsia="zh-CN"/>
              </w:rPr>
              <w:t>☑</w:t>
            </w:r>
            <w:r>
              <w:rPr>
                <w:rFonts w:hint="eastAsia"/>
                <w:sz w:val="24"/>
                <w:szCs w:val="21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大数据与会计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会计基础、经济法基础</w:t>
            </w:r>
          </w:p>
        </w:tc>
      </w:tr>
    </w:tbl>
    <w:p>
      <w:pPr>
        <w:pStyle w:val="2"/>
        <w:numPr>
          <w:ilvl w:val="0"/>
          <w:numId w:val="1"/>
        </w:numPr>
        <w:ind w:firstLine="653"/>
      </w:pPr>
      <w:bookmarkStart w:id="6" w:name="_Toc4255"/>
      <w:bookmarkStart w:id="7" w:name="_Toc502337262"/>
      <w:bookmarkStart w:id="8" w:name="_Toc30964"/>
      <w:r>
        <w:rPr>
          <w:rFonts w:hint="eastAsia"/>
        </w:rPr>
        <w:t>课程任务</w:t>
      </w:r>
      <w:bookmarkEnd w:id="6"/>
    </w:p>
    <w:p>
      <w:pPr>
        <w:ind w:firstLine="560"/>
        <w:rPr>
          <w:rFonts w:hint="eastAsia" w:ascii="Times New Roman" w:hAnsi="Times New Roman" w:cs="Times New Roman"/>
        </w:rPr>
      </w:pPr>
      <w:r>
        <w:rPr>
          <w:rFonts w:hint="eastAsia"/>
        </w:rPr>
        <w:t>《</w:t>
      </w:r>
      <w:r>
        <w:rPr>
          <w:rFonts w:hint="eastAsia"/>
          <w:lang w:val="en-US" w:eastAsia="zh-CN"/>
        </w:rPr>
        <w:t>经济学原理</w:t>
      </w:r>
      <w:r>
        <w:rPr>
          <w:rFonts w:hint="eastAsia"/>
        </w:rPr>
        <w:t>》是</w:t>
      </w:r>
      <w:r>
        <w:rPr>
          <w:rFonts w:hint="eastAsia"/>
          <w:lang w:val="en-US" w:eastAsia="zh-CN"/>
        </w:rPr>
        <w:t>大数据与会计</w:t>
      </w:r>
      <w:r>
        <w:rPr>
          <w:rFonts w:hint="eastAsia"/>
        </w:rPr>
        <w:t>专业的一门</w:t>
      </w:r>
      <w:r>
        <w:rPr>
          <w:rFonts w:hint="eastAsia"/>
          <w:lang w:val="en-US" w:eastAsia="zh-CN"/>
        </w:rPr>
        <w:t>专业基础</w:t>
      </w:r>
      <w:r>
        <w:rPr>
          <w:rFonts w:hint="eastAsia"/>
        </w:rPr>
        <w:t>课，本课程全面贯彻党的教育方针，落实立德树人根本任务，</w:t>
      </w:r>
      <w:r>
        <w:rPr>
          <w:rFonts w:hint="eastAsia" w:ascii="Times New Roman" w:hAnsi="Times New Roman" w:cs="Times New Roman"/>
        </w:rPr>
        <w:t>培养学生勇于创新的精神，帮助学生牢固树立市场经济的意识、了解市场经济的思维方式及市场运行中的经济规律的基本原理，指导学生懂得所学知识何时用、如何用</w:t>
      </w:r>
      <w:r>
        <w:rPr>
          <w:rFonts w:hint="eastAsia" w:ascii="Times New Roman" w:hAnsi="Times New Roman" w:cs="Times New Roman"/>
          <w:lang w:eastAsia="zh-CN"/>
        </w:rPr>
        <w:t>；</w:t>
      </w:r>
      <w:r>
        <w:rPr>
          <w:rFonts w:hint="eastAsia" w:ascii="Times New Roman" w:hAnsi="Times New Roman" w:cs="Times New Roman"/>
        </w:rPr>
        <w:t>提升学生市场竞争意识和较强的项目实操能力，培养学生深入思考经济现象本质、综合运用知识解决问题的能力和团队协作能力，并为专业课学习打下良好</w:t>
      </w:r>
      <w:r>
        <w:rPr>
          <w:rFonts w:hint="eastAsia" w:ascii="Times New Roman" w:hAnsi="Times New Roman" w:cs="Times New Roman"/>
          <w:lang w:val="en-US" w:eastAsia="zh-CN"/>
        </w:rPr>
        <w:t>基础，</w:t>
      </w:r>
      <w:r>
        <w:rPr>
          <w:rFonts w:hint="eastAsia" w:ascii="Times New Roman" w:hAnsi="Times New Roman" w:cs="Times New Roman"/>
        </w:rPr>
        <w:t>具备较强的经济分析思维和解决实际经济问题的任务。</w:t>
      </w:r>
    </w:p>
    <w:p>
      <w:pPr>
        <w:pStyle w:val="2"/>
        <w:ind w:firstLine="653"/>
      </w:pPr>
      <w:bookmarkStart w:id="9" w:name="_Toc1651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p>
      <w:pPr>
        <w:ind w:firstLine="560"/>
      </w:pPr>
      <w:r>
        <w:rPr>
          <w:rFonts w:hint="eastAsia"/>
        </w:rPr>
        <w:t>完成本课程学习后，学生应当具有以下素质、知识和能力：</w:t>
      </w:r>
    </w:p>
    <w:bookmarkEnd w:id="10"/>
    <w:p>
      <w:pPr>
        <w:pStyle w:val="3"/>
        <w:numPr>
          <w:ilvl w:val="0"/>
          <w:numId w:val="2"/>
        </w:numPr>
        <w:ind w:firstLine="560"/>
      </w:pPr>
      <w:bookmarkStart w:id="11" w:name="_Toc1453"/>
      <w:bookmarkStart w:id="12" w:name="_Toc90472987"/>
      <w:bookmarkStart w:id="13" w:name="_Toc7412"/>
      <w:r>
        <w:rPr>
          <w:rFonts w:hint="eastAsia"/>
        </w:rPr>
        <w:t>素质目标</w:t>
      </w:r>
      <w:bookmarkEnd w:id="11"/>
      <w:bookmarkEnd w:id="12"/>
      <w:bookmarkEnd w:id="13"/>
      <w:bookmarkStart w:id="14" w:name="_Toc1104"/>
      <w:bookmarkStart w:id="15" w:name="_Toc90472988"/>
      <w:bookmarkStart w:id="16" w:name="_Toc24734"/>
      <w:bookmarkStart w:id="17" w:name="_Toc502337264"/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1.经济学思维培养：通过课程学习，培养学生具备经济学家的思维方式，包括理性思考、逻辑推理、边际分析和成本效益分析等，能够运用经济学原理分析经济现象和问题。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2.全球视野与国际理解：引导学生关注全球经济动态，理解国际贸易、国际金融和国际经济政策运作机制，培养学生国际视野和跨文化交流能力。</w:t>
      </w:r>
    </w:p>
    <w:p>
      <w:pPr>
        <w:rPr>
          <w:rFonts w:hint="eastAsia" w:eastAsia="仿宋_GB2312"/>
          <w:lang w:val="en-US" w:eastAsia="zh-CN"/>
        </w:rPr>
      </w:pPr>
      <w:r>
        <w:rPr>
          <w:rFonts w:hint="eastAsia"/>
          <w:lang w:val="en-US" w:eastAsia="zh-CN"/>
        </w:rPr>
        <w:t>3.社会责任感与可持续发展意识：通过经济学原理的学习，使学生认识到经济活动对社会和未来的影响，培养学生的社会责任感和可持续发展意识</w:t>
      </w:r>
    </w:p>
    <w:p>
      <w:pPr>
        <w:pStyle w:val="3"/>
        <w:numPr>
          <w:ilvl w:val="0"/>
          <w:numId w:val="2"/>
        </w:numPr>
        <w:ind w:firstLine="560"/>
      </w:pPr>
      <w:r>
        <w:rPr>
          <w:rFonts w:hint="eastAsia"/>
        </w:rPr>
        <w:t>知识目标</w:t>
      </w:r>
      <w:bookmarkEnd w:id="14"/>
      <w:bookmarkEnd w:id="15"/>
      <w:bookmarkEnd w:id="16"/>
      <w:bookmarkEnd w:id="17"/>
      <w:bookmarkStart w:id="18" w:name="_Toc502337265"/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1.经济学基础理论：掌握经济学的基本概念、原理和理论框架，包括供求理论、市场结构分析、宏观经济政策、国际经济学、Python金融数据分析基础，理解“绿色金融”“碳税政策”等国家战略内容。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2.大数据驱动的经济分析能力：了解经济学研究的基本方法，包括数据收集、处理和分析，以及实证研究的设计和实施，能够运用经济学工具进行简单的数据分析，如：Tableau/Power BI经济数据可视化财务机器人流程自动化（RPA）应用。</w:t>
      </w:r>
    </w:p>
    <w:p>
      <w:pPr>
        <w:rPr>
          <w:rFonts w:hint="eastAsia" w:eastAsia="仿宋_GB2312"/>
          <w:lang w:val="en-US" w:eastAsia="zh-CN"/>
        </w:rPr>
      </w:pPr>
      <w:r>
        <w:rPr>
          <w:rFonts w:hint="eastAsia"/>
          <w:lang w:val="en-US" w:eastAsia="zh-CN"/>
        </w:rPr>
        <w:t>3.经济政策与制度：了解不同经济制度和政策对经济发展的影响，包括市场经济、计划经济、混合经济等，以及财政、货币、贸易和产业政策等。</w:t>
      </w:r>
    </w:p>
    <w:p>
      <w:pPr>
        <w:pStyle w:val="3"/>
        <w:numPr>
          <w:ilvl w:val="0"/>
          <w:numId w:val="2"/>
        </w:numPr>
        <w:ind w:firstLine="560"/>
      </w:pPr>
      <w:bookmarkStart w:id="19" w:name="_Toc90472989"/>
      <w:bookmarkStart w:id="20" w:name="_Toc12623"/>
      <w:bookmarkStart w:id="21" w:name="_Toc30755"/>
      <w:r>
        <w:rPr>
          <w:rFonts w:hint="eastAsia"/>
        </w:rPr>
        <w:t>能力目标</w:t>
      </w:r>
      <w:bookmarkEnd w:id="18"/>
      <w:bookmarkEnd w:id="19"/>
      <w:bookmarkEnd w:id="20"/>
      <w:bookmarkEnd w:id="21"/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1.经济现象分析能力：能够运用经济学原理和方法分析现实经济现象和问题，如市场供求关系、价格变动、经济波动等。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2.经济政策评估能力：能够评估不同经济政策对经济和社会的影响，包括财政政策、货币政策、贸易政策等，提出合理的政策建议。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3.决策支持能力：能够为企业、政府和个人提供经济决策支持，包括市场分析、成本效益分析、风险评估等。</w:t>
      </w:r>
    </w:p>
    <w:p>
      <w:pPr>
        <w:rPr>
          <w:rFonts w:hint="eastAsia" w:eastAsia="仿宋_GB2312"/>
          <w:lang w:val="en-US" w:eastAsia="zh-CN"/>
        </w:rPr>
      </w:pPr>
      <w:r>
        <w:rPr>
          <w:rFonts w:hint="eastAsia"/>
          <w:lang w:val="en-US" w:eastAsia="zh-CN"/>
        </w:rPr>
        <w:t>4.沟通与表达能力：能够清晰、准确地表达经济学原理和经济分析结果，撰写经济学论文和报告，进行有效的沟通和交流。</w:t>
      </w:r>
    </w:p>
    <w:p>
      <w:pPr>
        <w:pStyle w:val="2"/>
        <w:ind w:firstLine="653"/>
      </w:pPr>
      <w:bookmarkStart w:id="22" w:name="_Toc11296"/>
      <w:bookmarkStart w:id="23" w:name="_Toc24423"/>
      <w:r>
        <w:rPr>
          <w:rFonts w:hint="eastAsia"/>
        </w:rPr>
        <w:t>四、课程职业能力分析</w:t>
      </w:r>
      <w:bookmarkEnd w:id="22"/>
      <w:bookmarkEnd w:id="23"/>
    </w:p>
    <w:p>
      <w:pPr>
        <w:widowControl/>
        <w:spacing w:before="156" w:beforeLines="50"/>
        <w:ind w:firstLine="0" w:firstLineChars="0"/>
        <w:jc w:val="center"/>
        <w:rPr>
          <w:rFonts w:ascii="仿宋_GB2312" w:hAnsi="仿宋_GB2312" w:cs="仿宋_GB2312"/>
          <w:b/>
          <w:color w:val="000000"/>
          <w:sz w:val="24"/>
          <w:szCs w:val="24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</w:rPr>
        <w:t>表2. 课程职业能力分析表</w:t>
      </w:r>
    </w:p>
    <w:tbl>
      <w:tblPr>
        <w:tblStyle w:val="15"/>
        <w:tblW w:w="93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4"/>
        <w:gridCol w:w="756"/>
        <w:gridCol w:w="2544"/>
        <w:gridCol w:w="3120"/>
        <w:gridCol w:w="22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76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bookmarkStart w:id="24" w:name="_Toc27541"/>
            <w:bookmarkStart w:id="25" w:name="_Toc30005"/>
            <w:bookmarkStart w:id="26" w:name="_Toc502337266"/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工作岗位</w:t>
            </w:r>
          </w:p>
        </w:tc>
        <w:tc>
          <w:tcPr>
            <w:tcW w:w="75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工作任务</w:t>
            </w:r>
          </w:p>
        </w:tc>
        <w:tc>
          <w:tcPr>
            <w:tcW w:w="254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工作内容</w:t>
            </w:r>
          </w:p>
        </w:tc>
        <w:tc>
          <w:tcPr>
            <w:tcW w:w="312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技能点</w:t>
            </w:r>
          </w:p>
        </w:tc>
        <w:tc>
          <w:tcPr>
            <w:tcW w:w="2214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kern w:val="0"/>
                <w:sz w:val="24"/>
                <w:szCs w:val="24"/>
              </w:rPr>
              <w:t>知识点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  <w:jc w:val="center"/>
        </w:trPr>
        <w:tc>
          <w:tcPr>
            <w:tcW w:w="7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bidi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bidi="zh-CN"/>
              </w:rPr>
              <w:t>市场分析师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33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市场调研与分析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收集行业数据，分析市场需求与竞争格局。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运用统计方法预测市场趋势，撰写分析报告。</w:t>
            </w:r>
          </w:p>
        </w:tc>
        <w:tc>
          <w:tcPr>
            <w:tcW w:w="3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数据收集与整理（Excel、SPSS、Python/R）。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市场趋势分析（SWOT分析、PEST分析）。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报告撰写与可视化（Tableau、Power BI）</w:t>
            </w:r>
          </w:p>
        </w:tc>
        <w:tc>
          <w:tcPr>
            <w:tcW w:w="2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供需理论（需求曲线、供给曲线、市场均衡）。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市场结构（完全竞争、垄断、寡头、垄断竞争）。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价格弹性（需求弹性、供给弹性）。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  <w:jc w:val="center"/>
        </w:trPr>
        <w:tc>
          <w:tcPr>
            <w:tcW w:w="76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bidi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bidi="zh-CN"/>
              </w:rPr>
              <w:t>数据分析师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33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经济数据建模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构建经济预测模型（如GDP增长、通货膨胀）。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分析大数据，提供商业洞察。</w:t>
            </w:r>
          </w:p>
        </w:tc>
        <w:tc>
          <w:tcPr>
            <w:tcW w:w="3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计量经济学（回归分析、时间序列分析）。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编程（Python、R、Stata）。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数据可视化（Tableau、Matplotlib）。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财务数据清洗、区块链财税应用</w:t>
            </w:r>
          </w:p>
        </w:tc>
        <w:tc>
          <w:tcPr>
            <w:tcW w:w="2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经济周期（繁荣、衰退、复苏、萧条）。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因果关系分析（格兰杰因果检验）。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面板数据分析（固定效应、随机效应）。绿色金融政策的经济激励效应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  <w:jc w:val="center"/>
        </w:trPr>
        <w:tc>
          <w:tcPr>
            <w:tcW w:w="764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bidi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bidi="zh-CN"/>
              </w:rPr>
              <w:t>企业经济师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33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成本与收益分析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评估企业项目可行性，优化资源配置。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分析生产成本，制定定价策略。</w:t>
            </w:r>
          </w:p>
        </w:tc>
        <w:tc>
          <w:tcPr>
            <w:tcW w:w="312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成本核算（固定成本、可变成本）。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财务预测（盈亏平衡分析）。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决策分析（边际分析、最优生产规模）。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RPA在成本控制中的应用</w:t>
            </w:r>
          </w:p>
        </w:tc>
        <w:tc>
          <w:tcPr>
            <w:tcW w:w="2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机会成本（资源的最优利用）。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生产理论（短期生产、长期生产）。</w:t>
            </w:r>
          </w:p>
          <w:p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  <w:t>市场定价策略（成本加成、竞争定价）。智能财税系统的经济效益分析</w:t>
            </w:r>
          </w:p>
        </w:tc>
      </w:tr>
    </w:tbl>
    <w:p>
      <w:pPr>
        <w:pStyle w:val="2"/>
        <w:ind w:firstLine="560"/>
      </w:pPr>
      <w:r>
        <w:rPr>
          <w:rFonts w:hint="eastAsia"/>
        </w:rPr>
        <w:t>五、课程设计思路</w:t>
      </w:r>
      <w:bookmarkEnd w:id="24"/>
      <w:bookmarkEnd w:id="25"/>
    </w:p>
    <w:bookmarkEnd w:id="26"/>
    <w:p>
      <w:pPr>
        <w:pStyle w:val="3"/>
        <w:bidi w:val="0"/>
        <w:rPr>
          <w:rFonts w:hint="eastAsia"/>
        </w:rPr>
      </w:pPr>
      <w:bookmarkStart w:id="27" w:name="_Toc8844"/>
      <w:bookmarkStart w:id="28" w:name="_Toc11466"/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一</w:t>
      </w:r>
      <w:r>
        <w:rPr>
          <w:rFonts w:hint="eastAsia"/>
          <w:lang w:eastAsia="zh-CN"/>
        </w:rPr>
        <w:t>）</w:t>
      </w:r>
      <w:r>
        <w:rPr>
          <w:rFonts w:hint="eastAsia"/>
        </w:rPr>
        <w:t>教学路径</w:t>
      </w:r>
    </w:p>
    <w:p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课程设计理念</w:t>
      </w:r>
    </w:p>
    <w:p>
      <w:pPr>
        <w:bidi w:val="0"/>
        <w:rPr>
          <w:rFonts w:hint="eastAsia"/>
        </w:rPr>
      </w:pPr>
      <w:r>
        <w:rPr>
          <w:rFonts w:hint="eastAsia"/>
        </w:rPr>
        <w:t>课程设计遵循终身学习的教育观，强调以学生为中心，运用多种教学手段，培养学生通过主动探索、主动发现来获取知识的方法和能力。</w:t>
      </w:r>
    </w:p>
    <w:p>
      <w:pPr>
        <w:bidi w:val="0"/>
        <w:rPr>
          <w:rFonts w:hint="eastAsia"/>
        </w:rPr>
      </w:pPr>
      <w:r>
        <w:rPr>
          <w:rFonts w:hint="eastAsia"/>
        </w:rPr>
        <w:t>教师在探索经济规律的过程中，应转变角色，成为学习的引导者和情境的创设者，帮助学生尝试解决问题的知识和方法，充分发挥学生的主体性和能动性。</w:t>
      </w:r>
    </w:p>
    <w:p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课程内容安排</w:t>
      </w:r>
    </w:p>
    <w:p>
      <w:pPr>
        <w:bidi w:val="0"/>
        <w:rPr>
          <w:rFonts w:hint="eastAsia"/>
        </w:rPr>
      </w:pPr>
      <w:r>
        <w:rPr>
          <w:rFonts w:hint="eastAsia"/>
        </w:rPr>
        <w:t>课程通常包括宏观经济学和微观经济学两部分，涵盖供求关系、市场均衡、边际效用、消费者行为、生产者行为、市场结构、竞争与垄断、价格歧视、宏观经济政策等多个主题。</w:t>
      </w:r>
    </w:p>
    <w:p>
      <w:pPr>
        <w:bidi w:val="0"/>
        <w:rPr>
          <w:rFonts w:hint="eastAsia"/>
        </w:rPr>
      </w:pPr>
      <w:r>
        <w:rPr>
          <w:rFonts w:hint="eastAsia"/>
        </w:rPr>
        <w:t>教学内容应贴近专业需求，简化理论，以“必须、够用”为度，尽量用事实案例说明问题，着重介绍与专业学习及日常生产生活联系密切的经济原理和现象。</w:t>
      </w:r>
    </w:p>
    <w:p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教学方法</w:t>
      </w:r>
    </w:p>
    <w:p>
      <w:pPr>
        <w:bidi w:val="0"/>
        <w:rPr>
          <w:rFonts w:hint="eastAsia"/>
        </w:rPr>
      </w:pPr>
      <w:r>
        <w:rPr>
          <w:rFonts w:hint="eastAsia"/>
        </w:rPr>
        <w:t>采用讲授法、讨论法、案例分析法、实验法、研究性学习、互动式教学、多媒体教学等多种教学方法，激发学生的学习兴趣，提高学生的主动性和参与度。</w:t>
      </w:r>
    </w:p>
    <w:p>
      <w:pPr>
        <w:bidi w:val="0"/>
        <w:rPr>
          <w:rFonts w:hint="eastAsia"/>
        </w:rPr>
      </w:pPr>
      <w:r>
        <w:rPr>
          <w:rFonts w:hint="eastAsia"/>
        </w:rPr>
        <w:t>结合现实生活案例，使理论联系实际，提高学生的理解力。</w:t>
      </w:r>
    </w:p>
    <w:p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4.</w:t>
      </w:r>
      <w:r>
        <w:rPr>
          <w:rFonts w:hint="eastAsia"/>
        </w:rPr>
        <w:t>教学进度</w:t>
      </w:r>
    </w:p>
    <w:p>
      <w:pPr>
        <w:bidi w:val="0"/>
        <w:rPr>
          <w:rFonts w:hint="eastAsia"/>
        </w:rPr>
      </w:pPr>
      <w:r>
        <w:rPr>
          <w:rFonts w:hint="eastAsia"/>
        </w:rPr>
        <w:t>课程通常按照教材章节顺序进行教学，每周安排一定的课时，确保学生有规律的学习时间。</w:t>
      </w:r>
    </w:p>
    <w:p>
      <w:pPr>
        <w:bidi w:val="0"/>
        <w:rPr>
          <w:rFonts w:hint="eastAsia"/>
        </w:rPr>
      </w:pPr>
      <w:r>
        <w:rPr>
          <w:rFonts w:hint="eastAsia"/>
        </w:rPr>
        <w:t>在教学过程中，适时安排课后辅导、实践活动等，确保理论与实践相结合。</w:t>
      </w:r>
    </w:p>
    <w:p>
      <w:pPr>
        <w:pStyle w:val="3"/>
        <w:bidi w:val="0"/>
        <w:rPr>
          <w:rFonts w:hint="eastAsia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二</w:t>
      </w:r>
      <w:r>
        <w:rPr>
          <w:rFonts w:hint="eastAsia"/>
          <w:lang w:eastAsia="zh-CN"/>
        </w:rPr>
        <w:t>）</w:t>
      </w:r>
      <w:r>
        <w:rPr>
          <w:rFonts w:hint="eastAsia"/>
        </w:rPr>
        <w:t>教学评价</w:t>
      </w:r>
    </w:p>
    <w:p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评价方式</w:t>
      </w:r>
    </w:p>
    <w:p>
      <w:pPr>
        <w:bidi w:val="0"/>
        <w:rPr>
          <w:rFonts w:hint="eastAsia"/>
        </w:rPr>
      </w:pPr>
      <w:r>
        <w:rPr>
          <w:rFonts w:hint="eastAsia"/>
        </w:rPr>
        <w:t>采用平时表现、作业、考试等多种评价方式，确保评价的客观性和全面性。</w:t>
      </w:r>
    </w:p>
    <w:p>
      <w:pPr>
        <w:bidi w:val="0"/>
        <w:rPr>
          <w:rFonts w:hint="eastAsia"/>
        </w:rPr>
      </w:pPr>
      <w:r>
        <w:rPr>
          <w:rFonts w:hint="eastAsia"/>
        </w:rPr>
        <w:t>平时表现包括课堂出勤、课堂参与度、小组讨论表现等；作业包括书面作业、实践报告等；考试包括期中考试和期末考试。</w:t>
      </w:r>
    </w:p>
    <w:p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评价反馈</w:t>
      </w:r>
    </w:p>
    <w:p>
      <w:pPr>
        <w:bidi w:val="0"/>
        <w:rPr>
          <w:rFonts w:hint="eastAsia"/>
        </w:rPr>
      </w:pPr>
      <w:r>
        <w:rPr>
          <w:rFonts w:hint="eastAsia"/>
        </w:rPr>
        <w:t>评估标准要明确、公正，确保评估的客观性和有效性。</w:t>
      </w:r>
    </w:p>
    <w:p>
      <w:pPr>
        <w:bidi w:val="0"/>
        <w:rPr>
          <w:rFonts w:hint="eastAsia"/>
        </w:rPr>
      </w:pPr>
      <w:r>
        <w:rPr>
          <w:rFonts w:hint="eastAsia"/>
        </w:rPr>
        <w:t>评估结果要及时反馈给学生，以便他们了解自己的学习状况，调整学习方法和策略。</w:t>
      </w:r>
    </w:p>
    <w:p>
      <w:pPr>
        <w:pStyle w:val="3"/>
        <w:bidi w:val="0"/>
        <w:rPr>
          <w:rFonts w:hint="eastAsia"/>
        </w:rPr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三</w:t>
      </w:r>
      <w:r>
        <w:rPr>
          <w:rFonts w:hint="eastAsia"/>
          <w:lang w:eastAsia="zh-CN"/>
        </w:rPr>
        <w:t>）</w:t>
      </w:r>
      <w:r>
        <w:rPr>
          <w:rFonts w:hint="eastAsia"/>
        </w:rPr>
        <w:t>课程思政</w:t>
      </w:r>
    </w:p>
    <w:p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思政融入理念</w:t>
      </w:r>
    </w:p>
    <w:p>
      <w:pPr>
        <w:bidi w:val="0"/>
        <w:rPr>
          <w:rFonts w:hint="eastAsia"/>
        </w:rPr>
      </w:pPr>
      <w:r>
        <w:rPr>
          <w:rFonts w:hint="eastAsia"/>
        </w:rPr>
        <w:t>课程思政是一种教育教学理念，强调将思想政治教育融入高校每门课程教育教学的全过程，坚持知识传授与价值引领相结合。</w:t>
      </w:r>
    </w:p>
    <w:p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思政融入方法</w:t>
      </w:r>
    </w:p>
    <w:p>
      <w:pPr>
        <w:bidi w:val="0"/>
        <w:rPr>
          <w:rFonts w:hint="eastAsia"/>
        </w:rPr>
      </w:pPr>
      <w:r>
        <w:rPr>
          <w:rFonts w:hint="eastAsia"/>
        </w:rPr>
        <w:t>结合经济学专业知识，精炼符合“三新”标准的思政题材和内容（新素材、新理念、新视角），实现师生情感上的“三共”（共鸣、共情、共振）。</w:t>
      </w:r>
    </w:p>
    <w:p>
      <w:pPr>
        <w:bidi w:val="0"/>
        <w:rPr>
          <w:rFonts w:hint="eastAsia"/>
        </w:rPr>
      </w:pPr>
      <w:r>
        <w:rPr>
          <w:rFonts w:hint="eastAsia"/>
        </w:rPr>
        <w:t>通过案例教学、讨论式教学和情景教学等方法，将思政元素融入经济学教学中，激发学生的学习兴趣，培养学生的社会主义核心价值观。</w:t>
      </w:r>
    </w:p>
    <w:p>
      <w:pPr>
        <w:bidi w:val="0"/>
        <w:rPr>
          <w:rFonts w:hint="eastAsia"/>
        </w:rPr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思政融入内容</w:t>
      </w:r>
    </w:p>
    <w:p>
      <w:pPr>
        <w:bidi w:val="0"/>
        <w:rPr>
          <w:rFonts w:hint="eastAsia"/>
        </w:rPr>
      </w:pPr>
      <w:r>
        <w:rPr>
          <w:rFonts w:hint="eastAsia"/>
        </w:rPr>
        <w:t>在价格理论、消费者行为理论、生产论、宏观经济政策等教学中融入思想政治教育，如通过分析经济热点、时事新闻等素材，增强学生的国家荣誉感和文化自信；通过讨论校园贷、啃老族等话题，引导学生树立正确的消费观和价值观。</w:t>
      </w:r>
    </w:p>
    <w:p>
      <w:pPr>
        <w:pStyle w:val="2"/>
        <w:bidi w:val="0"/>
      </w:pPr>
      <w:r>
        <w:rPr>
          <w:rFonts w:hint="eastAsia"/>
        </w:rPr>
        <w:t>六、课程结构与内容</w:t>
      </w:r>
      <w:bookmarkEnd w:id="27"/>
      <w:bookmarkEnd w:id="28"/>
      <w:bookmarkStart w:id="29" w:name="_Toc7467"/>
      <w:bookmarkStart w:id="30" w:name="_Toc19213"/>
    </w:p>
    <w:p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表3. 课程设计方案</w:t>
      </w:r>
      <w:bookmarkEnd w:id="29"/>
      <w:bookmarkEnd w:id="30"/>
    </w:p>
    <w:tbl>
      <w:tblPr>
        <w:tblStyle w:val="15"/>
        <w:tblW w:w="8712" w:type="dxa"/>
        <w:tblInd w:w="4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2"/>
        <w:gridCol w:w="879"/>
        <w:gridCol w:w="971"/>
        <w:gridCol w:w="1775"/>
        <w:gridCol w:w="1013"/>
        <w:gridCol w:w="3150"/>
        <w:gridCol w:w="4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both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课程内容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学习内容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和要求</w:t>
            </w:r>
          </w:p>
        </w:tc>
        <w:tc>
          <w:tcPr>
            <w:tcW w:w="1013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教学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设计</w:t>
            </w: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学时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2" w:hRule="atLeast"/>
        </w:trPr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模块一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left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经济学导论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任务一经济学概述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任务二经济学研究内容分析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任务三经济学的研究方法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任务四经济学十大原理简介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1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文化元素&amp;哲学元素&amp;道德元素&amp;家国元素</w:t>
            </w:r>
          </w:p>
          <w:p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珍惜你所拥有的资源；引领学生正确理解“理杏仁假设”应将个人追求与社会价值认可相互结合，向同一方向努力奋斗，这才能使得整个社会更加和谐美好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2" w:hRule="atLeast"/>
        </w:trPr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模块二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outlineLvl w:val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市场运行分析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任务一需求分析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任务二供给分析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任务三均衡价格分析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任务四弹性理论分析</w:t>
            </w:r>
          </w:p>
        </w:tc>
        <w:tc>
          <w:tcPr>
            <w:tcW w:w="101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家国元素&amp;道德元素&amp;哲学元素&amp;政治元素</w:t>
            </w:r>
          </w:p>
          <w:p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在疫情面前，国家做出的很多决策是理性的、正确的，也展现了大国担当，培养学生的爱国心，列举感人事件，培养学生的家国情怀；政府采取支持价格或者限制价格等方式维护市场价格秩序，保护弱势群体的利益。引入瑞幸财务造假案”分析，引导学生理解诚信经济行为的必要性；通过“数据隐私保护与数字经济法规”任务，强化职业道德与法律意识。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2" w:hRule="atLeast"/>
        </w:trPr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模块三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消费者行为理论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任务一效用与欲望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任务二基数效用理论与消费者均衡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任务三序数效用理论与消费者均衡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任务四替代效应、收人效应与价格效应</w:t>
            </w:r>
          </w:p>
        </w:tc>
        <w:tc>
          <w:tcPr>
            <w:tcW w:w="101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t>引入企业真实案例分析</w:t>
            </w: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哲学元素&amp;消费因素&amp;道德元素&amp;文化元素</w:t>
            </w:r>
          </w:p>
          <w:p>
            <w:pPr>
              <w:widowControl/>
              <w:spacing w:line="240" w:lineRule="auto"/>
              <w:ind w:firstLine="480" w:firstLineChars="20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消费者最优选择，引导学生在处理任何事情或做任何选择前，要全面考虑各个影响因素，综合衡量做出最优决策，培养学生全面思考问题的能力，树立正确消费观；效用概念引申，消费商品时候要珍惜眼前树立正确的价值观；生活中要合理地安排自己的预算，不能超额消费、量力消费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2" w:hRule="atLeast"/>
        </w:trPr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模块四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生产者行为理论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任务一生产与生产函数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任务二边际报酬递减规律与一种生产要素的合理投入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任务三生产要素最适组合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任务四规模经济与规模报酬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任务五RPA在成本控制中的经济效益分析</w:t>
            </w:r>
          </w:p>
        </w:tc>
        <w:tc>
          <w:tcPr>
            <w:tcW w:w="101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引入企业真实案例分析</w:t>
            </w: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创新元素&amp;道德元素&amp;时间元素&amp;政治元素&amp;哲学元素</w:t>
            </w:r>
          </w:p>
          <w:p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汶川地震、2020年疫情企业各企业的捐赠行为，体现企业担当，引导学生树立正确的责任感；农村劳动力向城市转移的案例，引导学生了解民情国情，坚定政治信念；边际报酬递减规律列举学生时间观案例，引导学生在时间资源稀缺的情况下，合理安排自己的时间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2" w:hRule="atLeast"/>
        </w:trPr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模块五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成本与收益分析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任务一成本界定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任务二短期成本分析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任务三长期成本分析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任务四收益与利润最大化分析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任务五企业财务共享服务中心成本控制决策</w:t>
            </w:r>
          </w:p>
        </w:tc>
        <w:tc>
          <w:tcPr>
            <w:tcW w:w="101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jc w:val="left"/>
              <w:textAlignment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t>讲授法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t>讨论法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jc w:val="left"/>
              <w:rPr>
                <w:rFonts w:hint="default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  <w:t>引入企业真实案例分析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firstLine="0" w:firstLineChars="0"/>
              <w:jc w:val="left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道德元素&amp;政治元素&amp;哲学元素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2020—2021年很多生产口罩、酒精的企业，并未发国家财，培养学生的社会责任心和家国情怀，树立经济效益与社会效益相统一的观点；完全垄断市场，如供水供电公司在现实生活中定价很低并非为获利，而是为了满足人们日常生活需要，引领学生意识到国家全心全意为人民服务的意识，增强学生对党的政治认同、思想认同、情感认同。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9" w:hRule="atLeast"/>
        </w:trPr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模块六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市场结构分析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任务一完全竞争市场分析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任务二完全垄断市场分析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任务三垄断竞争市场分析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任务四寨头垄断市场分析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任务五不同市场的经济效率比较</w:t>
            </w:r>
          </w:p>
        </w:tc>
        <w:tc>
          <w:tcPr>
            <w:tcW w:w="1013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>
            <w:pPr>
              <w:widowControl/>
              <w:spacing w:line="240" w:lineRule="auto"/>
              <w:ind w:firstLine="480" w:firstLineChars="20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文化元素&amp;家国情怀</w:t>
            </w:r>
          </w:p>
          <w:p>
            <w:pPr>
              <w:widowControl/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勤俭节约、量入为出的优秀中华传统；国家政策对低收入群体的关注和帮扶，培养学生的制度自信和爱国情怀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0" w:hRule="atLeast"/>
        </w:trPr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模块七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要素分配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任务一生产要素价格的决定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任务二完全竞争条件下的工资、利息、地租和利润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任务三平等与效率</w:t>
            </w:r>
          </w:p>
        </w:tc>
        <w:tc>
          <w:tcPr>
            <w:tcW w:w="1013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政治元素&amp;职业元素&amp;道德元素&amp;哲学元素&amp;政策元素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市场失灵引申学生正确的人生观；阐述外部性重点剖析个人道德素质和企业自律素质的重要性，在此基础上，引导学生理解国家对外部效应为何要实行鼓励和处罚；信息不对称引申出做人要诚实、讲信用；国防作为公共物品，介绍我国的国防力量，引领学生树立坚定的制度自信。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2" w:hRule="atLeast"/>
        </w:trPr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模块八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国民收入核算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任务一国民收人核算体系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任务二名义 GDP与实际GDP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任务三国民收人核算中的其他重要经济指标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任务四国民收入核算中的恒等式.</w:t>
            </w:r>
          </w:p>
        </w:tc>
        <w:tc>
          <w:tcPr>
            <w:tcW w:w="1013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  <w:p>
            <w:pPr>
              <w:widowControl/>
              <w:spacing w:line="240" w:lineRule="auto"/>
              <w:ind w:firstLine="480" w:firstLineChars="20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政策元素&amp;制度自信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480" w:firstLineChars="20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勤俭节约、量入为出的优秀中华传统；中国自建国以来在经济方面的成就，疫情期间的政策，培养学生的爱国情怀和制度自信。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both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模块九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国民收入决定理论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任务一简单国民收入决定理论・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任务二乘数理论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任务三扩展的凯恩斯宏观经济模型:IS-LM 模型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配任务四总需求总供给模型:AD-AS 模型</w:t>
            </w:r>
          </w:p>
        </w:tc>
        <w:tc>
          <w:tcPr>
            <w:tcW w:w="1013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政策元素&amp;制度自信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勤俭节约、量入为出的优秀中华传统；中国自建国以来在经济方面的成就，疫情期间的政策，培养学生的爱国情怀和制度自信。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both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bookmarkStart w:id="31" w:name="_Toc18126"/>
            <w:bookmarkStart w:id="32" w:name="_Toc20287"/>
            <w:bookmarkStart w:id="33" w:name="_Toc502337267"/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模块十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通货膨胀与失业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任务一通货膨胀内涵解析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任务二通货膨胀成因分析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任务三失业和菲利普斯曲线</w:t>
            </w:r>
          </w:p>
        </w:tc>
        <w:tc>
          <w:tcPr>
            <w:tcW w:w="1013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政治认同&amp;家国情怀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结合案例湖北小伙西藏打。鹤岗买房。疫情失业，被迫卖房，中国全民抗疫必要性；引导学生树立正确的就业观，认清就业形式，鼓励做好充分准备，把握择业良机。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both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879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模块十一</w:t>
            </w:r>
          </w:p>
        </w:tc>
        <w:tc>
          <w:tcPr>
            <w:tcW w:w="971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1.宏观经济政策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2.经济周期和经济增长</w:t>
            </w:r>
          </w:p>
        </w:tc>
        <w:tc>
          <w:tcPr>
            <w:tcW w:w="17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任务一宏观经济政策概述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任务二财政政策，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任务三货币理论与货币政策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任务四宏观经济政策的协调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任务五经济周期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任务六经济增长</w:t>
            </w:r>
          </w:p>
        </w:tc>
        <w:tc>
          <w:tcPr>
            <w:tcW w:w="1013" w:type="dxa"/>
            <w:tcBorders>
              <w:tl2br w:val="nil"/>
              <w:tr2bl w:val="nil"/>
            </w:tcBorders>
            <w:vAlign w:val="top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讲授法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line="240" w:lineRule="auto"/>
              <w:jc w:val="both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讨论法</w:t>
            </w:r>
          </w:p>
          <w:p>
            <w:pPr>
              <w:keepNext w:val="0"/>
              <w:keepLines w:val="0"/>
              <w:widowControl/>
              <w:suppressLineNumbers w:val="0"/>
              <w:spacing w:line="240" w:lineRule="auto"/>
              <w:ind w:left="0" w:leftChars="0" w:firstLine="0" w:firstLineChars="0"/>
              <w:jc w:val="both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案例分析法</w:t>
            </w:r>
          </w:p>
        </w:tc>
        <w:tc>
          <w:tcPr>
            <w:tcW w:w="3150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firstLine="0" w:firstLineChars="0"/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  <w:lang w:val="en-US" w:eastAsia="zh-CN"/>
              </w:rPr>
              <w:t>政治认同&amp;家国情怀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结合案例，培养学生的社会责任心和家国情怀，树立紧跟国家宏观政策发展的经济意思</w:t>
            </w:r>
          </w:p>
        </w:tc>
        <w:tc>
          <w:tcPr>
            <w:tcW w:w="4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</w:tr>
    </w:tbl>
    <w:p>
      <w:pPr>
        <w:pStyle w:val="2"/>
        <w:ind w:firstLine="653"/>
      </w:pPr>
      <w:bookmarkStart w:id="51" w:name="_GoBack"/>
      <w:bookmarkEnd w:id="51"/>
      <w:r>
        <w:rPr>
          <w:rFonts w:hint="eastAsia"/>
        </w:rPr>
        <w:t>七、学习评价</w:t>
      </w:r>
      <w:bookmarkEnd w:id="31"/>
      <w:bookmarkEnd w:id="32"/>
      <w:bookmarkEnd w:id="33"/>
    </w:p>
    <w:p>
      <w:pPr>
        <w:spacing w:line="360" w:lineRule="auto"/>
        <w:ind w:firstLine="560"/>
      </w:pPr>
      <w:r>
        <w:rPr>
          <w:rFonts w:hint="eastAsia"/>
          <w:b/>
          <w:bCs/>
        </w:rPr>
        <w:t>本课程达标要求：</w:t>
      </w:r>
    </w:p>
    <w:p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hint="eastAsia" w:ascii="仿宋_GB2312" w:hAnsi="仿宋_GB2312" w:cs="仿宋_GB2312"/>
          <w:b/>
          <w:bCs/>
          <w:sz w:val="24"/>
          <w:szCs w:val="21"/>
        </w:rPr>
        <w:t>学习评价表</w:t>
      </w:r>
    </w:p>
    <w:tbl>
      <w:tblPr>
        <w:tblStyle w:val="15"/>
        <w:tblW w:w="884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"/>
        <w:gridCol w:w="1197"/>
        <w:gridCol w:w="997"/>
        <w:gridCol w:w="4275"/>
        <w:gridCol w:w="1262"/>
        <w:gridCol w:w="67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课程内容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评价标准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评价方法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占比</w:t>
            </w: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（%）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过程性评价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模块一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经济学导论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理解经济学的概念。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了解宏观经济学与微观经济学的关系。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掌握经济学的基本研究方法。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模块二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outlineLvl w:val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市场运行分析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掌握需求和供给的概念及影响因素。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能熟练掌握需求和供给变动的图形表示。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模块三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消费者行为理论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理解效用、总效用和边际效用的概念。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理解边际效用递减规律和边际替代率递减规律。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掌握消费者均衡的实现条件。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模块四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  <w:t>生产者行为理论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理解总产量、平均产量和边际产量的概念。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理解边际报酬递减规律和利润最大化原则。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掌握一种可变生产要素的合理投入区域与两种生产要素的最适组合。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模块五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成本与收益分析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掌握机会成本、沉没成本。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掌握短期总成本、短期平均成本、短期边际成本及其之间的关系。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掌握长期总成本、长期平均成本、长期边际成本及其之间的关系。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掌握利润最大化的原则。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>
            <w:pPr>
              <w:widowControl/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模块六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市场结构分析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理解完全竞争市场的短期均衡和长期均衡。</w:t>
            </w:r>
          </w:p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理解完全垄断市场的短期均衡和长期均衡。</w:t>
            </w:r>
          </w:p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理解垄断竞争市场的短期均衡和长期均衡。</w:t>
            </w:r>
          </w:p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理解寡头垄断市场的短期均衡和长期均衡。</w:t>
            </w:r>
          </w:p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比较完全竞争市场与完全垄断市场的效率。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模块七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要素分配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理解影响生产要素需求的主要因素。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理解完全竞争条件下要素价格的决定。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掌握工资完全竞争条件下工资、利息、地租和利润理论。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掌握洛伦兹曲线和基尼系数的概念及含义。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0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模块八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国民收入核算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掌握国内生产总值的含义及计算方法。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了解国民经济总量指标及其相互关系。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能用支出法计算国内生产总值。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了解国内生产总值指标的缺陷。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了解国民经济收入流量循环模型。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模块九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国民收入决定理论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了解消费函数、储蓄函数、平均消费倾向与边际消费倾向的含义。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掌握乘数的含义。头局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掌握货币需求理论。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442" w:type="dxa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bookmarkStart w:id="34" w:name="_Toc18233"/>
            <w:bookmarkStart w:id="35" w:name="_Toc11140"/>
            <w:bookmarkStart w:id="36" w:name="_Toc502337268"/>
          </w:p>
        </w:tc>
        <w:tc>
          <w:tcPr>
            <w:tcW w:w="1197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模块十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通货膨胀与失业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掌握失业的种类和失业的原因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了解通货膨胀的含义和成因。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掌握通货膨胀的种类、短期菲利普斯曲线和长期菲利普斯曲线。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理解通货膨胀的经济效应。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10%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442" w:type="dxa"/>
            <w:tcBorders>
              <w:tl2br w:val="nil"/>
              <w:tr2bl w:val="nil"/>
            </w:tcBorders>
          </w:tcPr>
          <w:p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color="auto" w:sz="4" w:space="0"/>
              <w:bottom w:val="single" w:color="auto" w:sz="4" w:space="0"/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模块十一</w:t>
            </w:r>
          </w:p>
        </w:tc>
        <w:tc>
          <w:tcPr>
            <w:tcW w:w="99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1.宏观经济政策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 w:line="240" w:lineRule="auto"/>
              <w:ind w:left="0" w:leftChars="0" w:right="0" w:rightChars="0" w:firstLine="0" w:firstLineChars="0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2.经济周期和经济增长</w:t>
            </w:r>
          </w:p>
        </w:tc>
        <w:tc>
          <w:tcPr>
            <w:tcW w:w="4275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掌握宏观经济政策目标及工具。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理解内在稳定器的内涵。书宝群赫储生机在。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熟悉财政政策及货币政策的内容。不由。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 w:firstLine="0" w:firstLineChars="0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掌握财政政策与货币政策的运用。</w:t>
            </w:r>
          </w:p>
        </w:tc>
        <w:tc>
          <w:tcPr>
            <w:tcW w:w="1262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left="0" w:leftChars="0" w:firstLine="0" w:firstLine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/>
              </w:rPr>
              <w:t>考查评价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5%</w:t>
            </w:r>
          </w:p>
        </w:tc>
      </w:tr>
    </w:tbl>
    <w:p>
      <w:pPr>
        <w:pStyle w:val="2"/>
        <w:ind w:firstLine="653"/>
        <w:rPr>
          <w:rFonts w:hint="default" w:ascii="仿宋" w:hAnsi="仿宋" w:eastAsia="仿宋" w:cs="仿宋"/>
          <w:b w:val="0"/>
          <w:bCs w:val="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lang w:val="en-US" w:eastAsia="zh-CN"/>
        </w:rPr>
        <w:t>课程整体考查标准为分模块考查，最终汇总</w:t>
      </w: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lang w:val="en-US" w:eastAsia="zh-CN"/>
        </w:rPr>
        <w:t>建立经济政策效果量化分析报告，</w:t>
      </w:r>
      <w:r>
        <w:rPr>
          <w:rFonts w:hint="default" w:ascii="仿宋" w:hAnsi="仿宋" w:eastAsia="仿宋" w:cs="仿宋"/>
          <w:b w:val="0"/>
          <w:bCs w:val="0"/>
          <w:kern w:val="0"/>
          <w:sz w:val="28"/>
          <w:szCs w:val="28"/>
          <w:lang w:val="en-US" w:eastAsia="zh-CN"/>
        </w:rPr>
        <w:t>引入行业专家参与答辩评分，对标企业项目验收标准。</w:t>
      </w:r>
    </w:p>
    <w:p>
      <w:pPr>
        <w:pStyle w:val="2"/>
        <w:ind w:firstLine="653"/>
      </w:pPr>
      <w:r>
        <w:rPr>
          <w:rFonts w:hint="eastAsia"/>
        </w:rPr>
        <w:t>八、教学资源</w:t>
      </w:r>
      <w:bookmarkEnd w:id="34"/>
      <w:bookmarkEnd w:id="35"/>
      <w:bookmarkEnd w:id="36"/>
    </w:p>
    <w:p>
      <w:pPr>
        <w:pStyle w:val="3"/>
        <w:ind w:firstLine="560"/>
        <w:rPr>
          <w:rFonts w:hint="eastAsia"/>
        </w:rPr>
      </w:pPr>
      <w:bookmarkStart w:id="37" w:name="_Toc16925"/>
      <w:bookmarkStart w:id="38" w:name="_Toc20587"/>
      <w:r>
        <w:rPr>
          <w:rFonts w:hint="eastAsia"/>
        </w:rPr>
        <w:t>（一）主要参考教材</w:t>
      </w:r>
      <w:bookmarkEnd w:id="37"/>
      <w:bookmarkEnd w:id="38"/>
    </w:p>
    <w:p>
      <w:pPr>
        <w:spacing w:line="600" w:lineRule="exact"/>
        <w:rPr>
          <w:rFonts w:hint="eastAsia" w:eastAsia="仿宋_GB2312"/>
          <w:lang w:eastAsia="zh-CN"/>
        </w:rPr>
      </w:pPr>
      <w:r>
        <w:rPr>
          <w:rFonts w:hint="eastAsia"/>
          <w:lang w:eastAsia="zh-CN"/>
        </w:rPr>
        <w:t>《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经济学基础</w:t>
      </w:r>
      <w:r>
        <w:rPr>
          <w:rFonts w:hint="eastAsia" w:ascii="仿宋_GB2312" w:hAnsi="宋体" w:cs="宋体"/>
          <w:kern w:val="0"/>
          <w:sz w:val="28"/>
          <w:szCs w:val="28"/>
          <w:lang w:val="en-US" w:eastAsia="zh-CN"/>
        </w:rPr>
        <w:t>理论与实务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eastAsia="zh-CN"/>
        </w:rPr>
        <w:t>）</w:t>
      </w:r>
      <w:r>
        <w:rPr>
          <w:rFonts w:hint="eastAsia"/>
          <w:lang w:eastAsia="zh-CN"/>
        </w:rPr>
        <w:t>》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［M］．</w:t>
      </w:r>
      <w:r>
        <w:rPr>
          <w:rFonts w:hint="eastAsia" w:ascii="仿宋_GB2312" w:hAnsi="宋体" w:cs="宋体"/>
          <w:kern w:val="0"/>
          <w:sz w:val="28"/>
          <w:szCs w:val="28"/>
          <w:lang w:val="en-US" w:eastAsia="zh-CN"/>
        </w:rPr>
        <w:t>北京交通大学出版社</w:t>
      </w:r>
      <w:r>
        <w:rPr>
          <w:rFonts w:ascii="仿宋_GB2312" w:hAnsi="宋体" w:eastAsia="仿宋_GB2312" w:cs="宋体"/>
          <w:kern w:val="0"/>
          <w:sz w:val="28"/>
          <w:szCs w:val="28"/>
        </w:rPr>
        <w:t>，202</w:t>
      </w:r>
      <w:r>
        <w:rPr>
          <w:rFonts w:hint="eastAsia" w:ascii="仿宋_GB2312" w:hAnsi="宋体" w:cs="宋体"/>
          <w:kern w:val="0"/>
          <w:sz w:val="28"/>
          <w:szCs w:val="28"/>
          <w:lang w:val="en-US" w:eastAsia="zh-CN"/>
        </w:rPr>
        <w:t>1</w:t>
      </w:r>
      <w:r>
        <w:rPr>
          <w:rFonts w:ascii="仿宋_GB2312" w:hAnsi="宋体" w:eastAsia="仿宋_GB2312" w:cs="宋体"/>
          <w:kern w:val="0"/>
          <w:sz w:val="28"/>
          <w:szCs w:val="28"/>
        </w:rPr>
        <w:t>．</w:t>
      </w:r>
    </w:p>
    <w:p>
      <w:pPr>
        <w:pStyle w:val="3"/>
        <w:numPr>
          <w:ilvl w:val="0"/>
          <w:numId w:val="3"/>
        </w:numPr>
        <w:ind w:firstLine="560"/>
        <w:rPr>
          <w:rFonts w:hint="eastAsia"/>
        </w:rPr>
      </w:pPr>
      <w:bookmarkStart w:id="39" w:name="_Toc29665"/>
      <w:bookmarkStart w:id="40" w:name="_Toc17555"/>
      <w:r>
        <w:rPr>
          <w:rFonts w:hint="eastAsia"/>
        </w:rPr>
        <w:t>其他参考资料</w:t>
      </w:r>
      <w:bookmarkEnd w:id="39"/>
      <w:bookmarkEnd w:id="40"/>
    </w:p>
    <w:p>
      <w:pPr>
        <w:bidi w:val="0"/>
      </w:pPr>
      <w:r>
        <w:rPr>
          <w:rFonts w:hint="eastAsia"/>
          <w:lang w:val="en-US" w:eastAsia="zh-CN"/>
        </w:rPr>
        <w:t>1.</w:t>
      </w:r>
      <w:r>
        <w:t>汪朝</w:t>
      </w:r>
      <w:r>
        <w:rPr>
          <w:rFonts w:hint="eastAsia"/>
        </w:rPr>
        <w:t>洋，</w:t>
      </w:r>
      <w:r>
        <w:t>池峰．</w:t>
      </w:r>
      <w:r>
        <w:rPr>
          <w:rFonts w:hint="eastAsia"/>
        </w:rPr>
        <w:t>经济学基础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［M］</w:t>
      </w:r>
      <w:r>
        <w:rPr>
          <w:rFonts w:hint="eastAsia"/>
        </w:rPr>
        <w:t>．修订版．合肥工业大学出版社</w:t>
      </w:r>
      <w:r>
        <w:t>，2016．</w:t>
      </w:r>
    </w:p>
    <w:p>
      <w:pPr>
        <w:bidi w:val="0"/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陈学忠，黄慧化</w:t>
      </w:r>
      <w:r>
        <w:t>．</w:t>
      </w:r>
      <w:r>
        <w:rPr>
          <w:rFonts w:hint="eastAsia"/>
        </w:rPr>
        <w:t>经济学基础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［M］</w:t>
      </w:r>
      <w:r>
        <w:t>．</w:t>
      </w:r>
      <w:r>
        <w:rPr>
          <w:rFonts w:hint="eastAsia"/>
        </w:rPr>
        <w:t>2版．电子工业出版社</w:t>
      </w:r>
      <w:r>
        <w:t>，2020．</w:t>
      </w:r>
    </w:p>
    <w:p>
      <w:pPr>
        <w:bidi w:val="0"/>
      </w:pPr>
      <w:r>
        <w:rPr>
          <w:rFonts w:hint="eastAsia"/>
          <w:lang w:val="en-US" w:eastAsia="zh-CN"/>
        </w:rPr>
        <w:t>3.</w:t>
      </w:r>
      <w:r>
        <w:rPr>
          <w:rFonts w:hint="eastAsia"/>
        </w:rPr>
        <w:t>邓先娥，汪芳</w:t>
      </w:r>
      <w:r>
        <w:t>．</w:t>
      </w:r>
      <w:r>
        <w:rPr>
          <w:rFonts w:hint="eastAsia"/>
        </w:rPr>
        <w:t>经济学基础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［M］</w:t>
      </w:r>
      <w:r>
        <w:t>．</w:t>
      </w:r>
    </w:p>
    <w:p>
      <w:pPr>
        <w:pStyle w:val="3"/>
        <w:ind w:firstLine="560"/>
      </w:pPr>
      <w:bookmarkStart w:id="41" w:name="_Toc27934"/>
      <w:bookmarkStart w:id="42" w:name="_Toc21776"/>
      <w:r>
        <w:rPr>
          <w:rFonts w:hint="eastAsia"/>
        </w:rPr>
        <w:t>（三）实训条件</w:t>
      </w:r>
      <w:bookmarkEnd w:id="41"/>
      <w:bookmarkEnd w:id="42"/>
    </w:p>
    <w:p>
      <w:pPr>
        <w:bidi w:val="0"/>
        <w:rPr>
          <w:rFonts w:hint="eastAsia" w:ascii="仿宋" w:hAnsi="仿宋" w:eastAsia="仿宋" w:cs="仿宋"/>
          <w:color w:val="auto"/>
          <w:sz w:val="30"/>
          <w:szCs w:val="30"/>
        </w:rPr>
      </w:pPr>
      <w:bookmarkStart w:id="43" w:name="_Toc29888"/>
      <w:bookmarkStart w:id="44" w:name="_Toc7079"/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1.硬件设施：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小组讨论室、多媒体教室</w:t>
      </w:r>
    </w:p>
    <w:p>
      <w:pPr>
        <w:bidi w:val="0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2.软件设施：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多媒体软件</w:t>
      </w:r>
    </w:p>
    <w:p>
      <w:pPr>
        <w:pStyle w:val="3"/>
        <w:ind w:firstLine="560"/>
        <w:rPr>
          <w:rFonts w:hint="eastAsia"/>
        </w:rPr>
      </w:pPr>
      <w:r>
        <w:rPr>
          <w:rFonts w:hint="eastAsia"/>
        </w:rPr>
        <w:t>（四）信息化教学资源</w:t>
      </w:r>
      <w:bookmarkEnd w:id="43"/>
      <w:bookmarkEnd w:id="44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default"/>
          <w:lang w:val="en-US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>PPT、慕课、智慧树、教学质量管理检测系统</w:t>
      </w:r>
      <w:r>
        <w:rPr>
          <w:rFonts w:hint="eastAsia" w:ascii="仿宋_GB2312" w:hAnsi="宋体" w:cs="宋体"/>
          <w:kern w:val="0"/>
          <w:sz w:val="28"/>
          <w:szCs w:val="28"/>
          <w:lang w:val="en-US" w:eastAsia="zh-CN"/>
        </w:rPr>
        <w:t>、与企业和国家对接建立动态财务经济数据库</w:t>
      </w:r>
    </w:p>
    <w:p>
      <w:pPr>
        <w:pStyle w:val="2"/>
        <w:numPr>
          <w:ilvl w:val="0"/>
          <w:numId w:val="4"/>
        </w:numPr>
        <w:bidi w:val="0"/>
        <w:rPr>
          <w:rFonts w:hint="eastAsia"/>
          <w:lang w:eastAsia="zh-CN"/>
        </w:rPr>
      </w:pPr>
      <w:bookmarkStart w:id="45" w:name="_Toc12227"/>
      <w:bookmarkStart w:id="46" w:name="_Toc6694"/>
      <w:bookmarkStart w:id="47" w:name="_Hlk90479468"/>
      <w:r>
        <w:rPr>
          <w:rFonts w:hint="eastAsia"/>
        </w:rPr>
        <w:t>师资要求</w:t>
      </w:r>
      <w:bookmarkEnd w:id="45"/>
      <w:bookmarkEnd w:id="46"/>
      <w:r>
        <w:rPr>
          <w:rFonts w:hint="eastAsia"/>
          <w:lang w:eastAsia="zh-CN"/>
        </w:rPr>
        <w:tab/>
      </w:r>
    </w:p>
    <w:p>
      <w:pPr>
        <w:bidi w:val="0"/>
        <w:ind w:left="0" w:leftChars="0" w:firstLine="560" w:firstLineChars="200"/>
        <w:rPr>
          <w:rFonts w:hint="default"/>
          <w:lang w:val="en-US"/>
        </w:rPr>
      </w:pPr>
      <w:r>
        <w:rPr>
          <w:rFonts w:hint="eastAsia"/>
          <w:lang w:val="en-US" w:eastAsia="zh-CN"/>
        </w:rPr>
        <w:t>具有高校教师资格；原则上具有会计学、审计学、财务管理、财务会计教育、大数据与会计、大数据与财务管理、大数据与审计等相关专业本科及以上学历；具有一定年限的相应工作经历或者实践经验，达到相应的技术技能水平；具有本专业理论和实践能力；能够落实课程思政要求，挖掘专业课程中的思政教育元素和资源；能够运用信息技术开展混合式教学等教法改革；能够跟踪新经济、新技术发展前沿，开展技术研发与社会服务，教师需具备智能财税平台实操经验或财务大数据分析企业实践经历，专业课教师每5年累计6个月企业实践。</w:t>
      </w:r>
    </w:p>
    <w:p>
      <w:pPr>
        <w:pStyle w:val="2"/>
        <w:numPr>
          <w:ilvl w:val="0"/>
          <w:numId w:val="4"/>
        </w:numPr>
        <w:ind w:left="0" w:leftChars="0" w:firstLine="643" w:firstLineChars="200"/>
      </w:pPr>
      <w:bookmarkStart w:id="48" w:name="_Toc3001"/>
      <w:bookmarkStart w:id="49" w:name="_Toc502337269"/>
      <w:bookmarkStart w:id="50" w:name="_Toc29184"/>
      <w:r>
        <w:rPr>
          <w:rFonts w:hint="eastAsia"/>
        </w:rPr>
        <w:t>其它说明</w:t>
      </w:r>
      <w:bookmarkEnd w:id="48"/>
      <w:bookmarkEnd w:id="49"/>
      <w:bookmarkEnd w:id="50"/>
    </w:p>
    <w:p>
      <w:pPr>
        <w:ind w:firstLine="1120" w:firstLineChars="400"/>
        <w:rPr>
          <w:rFonts w:hint="eastAsia" w:eastAsia="仿宋_GB2312"/>
          <w:lang w:val="en-US" w:eastAsia="zh-CN"/>
        </w:rPr>
      </w:pPr>
      <w:r>
        <w:rPr>
          <w:rFonts w:hint="eastAsia"/>
          <w:lang w:val="en-US" w:eastAsia="zh-CN"/>
        </w:rPr>
        <w:t>无</w:t>
      </w:r>
    </w:p>
    <w:bookmarkEnd w:id="3"/>
    <w:bookmarkEnd w:id="4"/>
    <w:bookmarkEnd w:id="5"/>
    <w:bookmarkEnd w:id="47"/>
    <w:p>
      <w:pPr>
        <w:ind w:firstLine="560"/>
        <w:rPr>
          <w:rFonts w:hint="eastAsia" w:ascii="仿宋_GB2312" w:hAnsi="宋体" w:eastAsia="仿宋_GB2312" w:cs="宋体"/>
          <w:kern w:val="0"/>
          <w:szCs w:val="28"/>
          <w:lang w:val="en-US" w:eastAsia="zh-CN"/>
        </w:rPr>
      </w:pP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  <w:jc w:val="center"/>
    </w:pPr>
    <w:r>
      <w:rPr>
        <w:lang w:val="zh-CN"/>
      </w:rPr>
      <w:t xml:space="preserve"> </w:t>
    </w:r>
  </w:p>
  <w:p>
    <w:pPr>
      <w:pStyle w:val="8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  <w:jc w:val="center"/>
    </w:pPr>
    <w:r>
      <w:rPr>
        <w:lang w:val="zh-CN"/>
      </w:rPr>
      <w:t xml:space="preserve"> </w:t>
    </w:r>
  </w:p>
  <w:p>
    <w:pPr>
      <w:pStyle w:val="8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  <w:jc w:val="center"/>
    </w:pPr>
    <w:r>
      <w:rPr>
        <w:lang w:val="zh-CN"/>
      </w:rPr>
      <w:t xml:space="preserve"> </w:t>
    </w:r>
  </w:p>
  <w:p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CC08A0"/>
    <w:multiLevelType w:val="singleLevel"/>
    <w:tmpl w:val="98CC08A0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490B5BE4"/>
    <w:multiLevelType w:val="singleLevel"/>
    <w:tmpl w:val="490B5BE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NmNmI1Yzk2Mjg0OWRmMjYzMDQzOGJiMjEzYjE5ODYifQ=="/>
    <w:docVar w:name="KSO_WPS_MARK_KEY" w:val="0e850bb0-ccce-46fc-8d3b-cac960b0bc4b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2A20F18"/>
    <w:rsid w:val="04F36FCB"/>
    <w:rsid w:val="06264DD4"/>
    <w:rsid w:val="071F59E5"/>
    <w:rsid w:val="08E12275"/>
    <w:rsid w:val="0B4B3EED"/>
    <w:rsid w:val="0D272220"/>
    <w:rsid w:val="0E4D215A"/>
    <w:rsid w:val="0EC266A4"/>
    <w:rsid w:val="115D4462"/>
    <w:rsid w:val="11A42091"/>
    <w:rsid w:val="13C6123F"/>
    <w:rsid w:val="15031B34"/>
    <w:rsid w:val="152B70E8"/>
    <w:rsid w:val="15D56A42"/>
    <w:rsid w:val="169325B8"/>
    <w:rsid w:val="16DE1BA1"/>
    <w:rsid w:val="172F601F"/>
    <w:rsid w:val="1761002E"/>
    <w:rsid w:val="17735D8C"/>
    <w:rsid w:val="18493218"/>
    <w:rsid w:val="18BA29FE"/>
    <w:rsid w:val="18C15C1F"/>
    <w:rsid w:val="1A18361C"/>
    <w:rsid w:val="1BB630ED"/>
    <w:rsid w:val="1DA376A1"/>
    <w:rsid w:val="1DF95513"/>
    <w:rsid w:val="1E0C36DB"/>
    <w:rsid w:val="1F642E60"/>
    <w:rsid w:val="21456C37"/>
    <w:rsid w:val="21C85928"/>
    <w:rsid w:val="22EF2BDA"/>
    <w:rsid w:val="2392755E"/>
    <w:rsid w:val="23E320F6"/>
    <w:rsid w:val="249978EE"/>
    <w:rsid w:val="24C85C3F"/>
    <w:rsid w:val="257C5313"/>
    <w:rsid w:val="273677B9"/>
    <w:rsid w:val="28C36E49"/>
    <w:rsid w:val="29283150"/>
    <w:rsid w:val="29790743"/>
    <w:rsid w:val="2A157B78"/>
    <w:rsid w:val="2B595843"/>
    <w:rsid w:val="2C7D37B3"/>
    <w:rsid w:val="2D276405"/>
    <w:rsid w:val="2E7B7787"/>
    <w:rsid w:val="2F2D326E"/>
    <w:rsid w:val="2F6A77B8"/>
    <w:rsid w:val="30611F0A"/>
    <w:rsid w:val="317D4E81"/>
    <w:rsid w:val="31DD71CE"/>
    <w:rsid w:val="33435756"/>
    <w:rsid w:val="33670DA7"/>
    <w:rsid w:val="33BD324E"/>
    <w:rsid w:val="34710AAF"/>
    <w:rsid w:val="371C0798"/>
    <w:rsid w:val="382D42DF"/>
    <w:rsid w:val="388C25CC"/>
    <w:rsid w:val="3A9340B4"/>
    <w:rsid w:val="3ADC3D9A"/>
    <w:rsid w:val="3B9A1C8B"/>
    <w:rsid w:val="3BDB4052"/>
    <w:rsid w:val="3DD96F86"/>
    <w:rsid w:val="3EBC5DDD"/>
    <w:rsid w:val="3EFC2C5D"/>
    <w:rsid w:val="3FF42CA8"/>
    <w:rsid w:val="415E375B"/>
    <w:rsid w:val="420C31B7"/>
    <w:rsid w:val="44883AC1"/>
    <w:rsid w:val="44890655"/>
    <w:rsid w:val="44F85C75"/>
    <w:rsid w:val="465810C1"/>
    <w:rsid w:val="46BF6A4A"/>
    <w:rsid w:val="46F474F2"/>
    <w:rsid w:val="47B70069"/>
    <w:rsid w:val="47DB4379"/>
    <w:rsid w:val="48220CEE"/>
    <w:rsid w:val="489268FC"/>
    <w:rsid w:val="49564CEF"/>
    <w:rsid w:val="49624B54"/>
    <w:rsid w:val="49BC54C3"/>
    <w:rsid w:val="4AEA6060"/>
    <w:rsid w:val="4BEE392E"/>
    <w:rsid w:val="4CCD5FB7"/>
    <w:rsid w:val="4E053309"/>
    <w:rsid w:val="5100482F"/>
    <w:rsid w:val="51037E7B"/>
    <w:rsid w:val="523302EC"/>
    <w:rsid w:val="5253273C"/>
    <w:rsid w:val="53596C0B"/>
    <w:rsid w:val="546155E5"/>
    <w:rsid w:val="54A518C5"/>
    <w:rsid w:val="559D43FA"/>
    <w:rsid w:val="562A3B61"/>
    <w:rsid w:val="571406EC"/>
    <w:rsid w:val="575F1A59"/>
    <w:rsid w:val="59B04FCC"/>
    <w:rsid w:val="5A502305"/>
    <w:rsid w:val="5A63129F"/>
    <w:rsid w:val="5ADE57B1"/>
    <w:rsid w:val="5BCF6EC1"/>
    <w:rsid w:val="5E8A4E8C"/>
    <w:rsid w:val="5F97635E"/>
    <w:rsid w:val="5FDC79DB"/>
    <w:rsid w:val="634A36E8"/>
    <w:rsid w:val="66952ECC"/>
    <w:rsid w:val="66D56B27"/>
    <w:rsid w:val="685B2491"/>
    <w:rsid w:val="694C5B6A"/>
    <w:rsid w:val="6A6B28C1"/>
    <w:rsid w:val="6B7632CC"/>
    <w:rsid w:val="6C932E12"/>
    <w:rsid w:val="6D203E37"/>
    <w:rsid w:val="6D695A44"/>
    <w:rsid w:val="6DA46816"/>
    <w:rsid w:val="6E8A7606"/>
    <w:rsid w:val="702C664F"/>
    <w:rsid w:val="70D22201"/>
    <w:rsid w:val="724203AC"/>
    <w:rsid w:val="7516167C"/>
    <w:rsid w:val="757A01E9"/>
    <w:rsid w:val="75AD3D8E"/>
    <w:rsid w:val="75CB758E"/>
    <w:rsid w:val="75D237F5"/>
    <w:rsid w:val="76AA6A38"/>
    <w:rsid w:val="79363CA6"/>
    <w:rsid w:val="7AA3575A"/>
    <w:rsid w:val="7B3E36DA"/>
    <w:rsid w:val="7BB35BD5"/>
    <w:rsid w:val="7BC4044B"/>
    <w:rsid w:val="7C482314"/>
    <w:rsid w:val="7D054F84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21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2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3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oc 3"/>
    <w:basedOn w:val="1"/>
    <w:next w:val="1"/>
    <w:qFormat/>
    <w:uiPriority w:val="39"/>
    <w:pPr>
      <w:ind w:left="840" w:leftChars="400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link w:val="3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3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1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paragraph" w:styleId="13">
    <w:name w:val="Normal (Web)"/>
    <w:basedOn w:val="1"/>
    <w:uiPriority w:val="0"/>
    <w:rPr>
      <w:sz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Strong"/>
    <w:basedOn w:val="16"/>
    <w:qFormat/>
    <w:uiPriority w:val="0"/>
    <w:rPr>
      <w:b/>
    </w:rPr>
  </w:style>
  <w:style w:type="character" w:styleId="18">
    <w:name w:val="Hyperlink"/>
    <w:unhideWhenUsed/>
    <w:qFormat/>
    <w:uiPriority w:val="99"/>
    <w:rPr>
      <w:color w:val="0000FF"/>
      <w:u w:val="single"/>
    </w:rPr>
  </w:style>
  <w:style w:type="character" w:customStyle="1" w:styleId="19">
    <w:name w:val="批注框文本 字符"/>
    <w:basedOn w:val="16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20">
    <w:name w:val="标题 1 字符"/>
    <w:basedOn w:val="16"/>
    <w:link w:val="2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21">
    <w:name w:val="标题 2 字符"/>
    <w:basedOn w:val="16"/>
    <w:link w:val="3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2">
    <w:name w:val="标题 3 字符"/>
    <w:basedOn w:val="16"/>
    <w:link w:val="4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3">
    <w:name w:val="标题 4 字符"/>
    <w:basedOn w:val="16"/>
    <w:link w:val="5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4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5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6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7">
    <w:name w:val="style41"/>
    <w:basedOn w:val="16"/>
    <w:qFormat/>
    <w:uiPriority w:val="0"/>
    <w:rPr>
      <w:sz w:val="18"/>
    </w:rPr>
  </w:style>
  <w:style w:type="paragraph" w:customStyle="1" w:styleId="28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9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30">
    <w:name w:val="页脚 字符"/>
    <w:basedOn w:val="16"/>
    <w:link w:val="8"/>
    <w:qFormat/>
    <w:uiPriority w:val="99"/>
    <w:rPr>
      <w:rFonts w:eastAsia="仿宋_GB2312"/>
      <w:kern w:val="2"/>
      <w:sz w:val="18"/>
      <w:szCs w:val="18"/>
    </w:rPr>
  </w:style>
  <w:style w:type="character" w:customStyle="1" w:styleId="31">
    <w:name w:val="页眉 字符"/>
    <w:basedOn w:val="16"/>
    <w:link w:val="9"/>
    <w:qFormat/>
    <w:uiPriority w:val="99"/>
    <w:rPr>
      <w:rFonts w:eastAsia="仿宋_GB2312"/>
      <w:kern w:val="2"/>
      <w:sz w:val="18"/>
      <w:szCs w:val="18"/>
    </w:rPr>
  </w:style>
  <w:style w:type="paragraph" w:styleId="32">
    <w:name w:val="List Paragraph"/>
    <w:basedOn w:val="1"/>
    <w:qFormat/>
    <w:uiPriority w:val="99"/>
    <w:pPr>
      <w:ind w:firstLine="420"/>
    </w:pPr>
  </w:style>
  <w:style w:type="paragraph" w:customStyle="1" w:styleId="33">
    <w:name w:val="其他"/>
    <w:basedOn w:val="1"/>
    <w:qFormat/>
    <w:uiPriority w:val="0"/>
    <w:pPr>
      <w:spacing w:line="360" w:lineRule="auto"/>
      <w:ind w:firstLine="400"/>
    </w:pPr>
    <w:rPr>
      <w:rFonts w:ascii="宋体" w:hAnsi="宋体" w:eastAsia="宋体" w:cs="宋体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15</Pages>
  <Words>5879</Words>
  <Characters>6041</Characters>
  <Lines>15</Lines>
  <Paragraphs>5</Paragraphs>
  <TotalTime>2</TotalTime>
  <ScaleCrop>false</ScaleCrop>
  <LinksUpToDate>false</LinksUpToDate>
  <CharactersWithSpaces>6134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2024-07-04T08:12:00Z</dcterms:created>
  <dc:creator>玄冰石</dc:creator>
  <cp:lastModifiedBy>hly</cp:lastModifiedBy>
  <cp:lastPrinted>2024-07-02T05:20:00Z</cp:lastPrinted>
  <dcterms:modified xsi:type="dcterms:W3CDTF">2025-08-18T07:43:20Z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CF1467C429324913A2735B825F4B1BEF</vt:lpwstr>
  </property>
</Properties>
</file>