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C60185">
      <w:pPr>
        <w:widowControl/>
        <w:spacing w:line="240" w:lineRule="auto"/>
        <w:ind w:firstLine="0" w:firstLineChars="0"/>
        <w:rPr>
          <w:rFonts w:eastAsia="方正流行体简体"/>
          <w:spacing w:val="-10"/>
          <w:sz w:val="60"/>
          <w:szCs w:val="60"/>
        </w:rPr>
      </w:pPr>
      <w:r>
        <w:rPr>
          <w:rFonts w:hint="eastAsia" w:eastAsia="方正流行体简体"/>
          <w:spacing w:val="-10"/>
          <w:sz w:val="60"/>
          <w:szCs w:val="60"/>
        </w:rPr>
        <w:drawing>
          <wp:inline distT="0" distB="0" distL="114300" distR="114300">
            <wp:extent cx="5267325" cy="1393825"/>
            <wp:effectExtent l="0" t="0" r="9525" b="15875"/>
            <wp:docPr id="3" name="图片 3"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logo最终_00"/>
                    <pic:cNvPicPr>
                      <a:picLocks noChangeAspect="1"/>
                    </pic:cNvPicPr>
                  </pic:nvPicPr>
                  <pic:blipFill>
                    <a:blip r:embed="rId15"/>
                    <a:stretch>
                      <a:fillRect/>
                    </a:stretch>
                  </pic:blipFill>
                  <pic:spPr>
                    <a:xfrm>
                      <a:off x="0" y="0"/>
                      <a:ext cx="5267325" cy="1393825"/>
                    </a:xfrm>
                    <a:prstGeom prst="rect">
                      <a:avLst/>
                    </a:prstGeom>
                  </pic:spPr>
                </pic:pic>
              </a:graphicData>
            </a:graphic>
          </wp:inline>
        </w:drawing>
      </w:r>
    </w:p>
    <w:p w14:paraId="31AAA4B1">
      <w:pPr>
        <w:spacing w:line="240" w:lineRule="auto"/>
        <w:ind w:firstLine="0" w:firstLineChars="0"/>
        <w:rPr>
          <w:rFonts w:ascii="隶书" w:eastAsia="隶书"/>
          <w:spacing w:val="-60"/>
          <w:sz w:val="32"/>
          <w:szCs w:val="32"/>
        </w:rPr>
      </w:pPr>
    </w:p>
    <w:p w14:paraId="5E98B8C6">
      <w:pPr>
        <w:spacing w:line="240" w:lineRule="auto"/>
        <w:ind w:firstLine="400"/>
        <w:rPr>
          <w:rFonts w:ascii="隶书" w:eastAsia="隶书"/>
          <w:spacing w:val="-60"/>
          <w:sz w:val="32"/>
          <w:szCs w:val="32"/>
        </w:rPr>
      </w:pPr>
    </w:p>
    <w:p w14:paraId="54377429">
      <w:pPr>
        <w:spacing w:line="240" w:lineRule="auto"/>
        <w:ind w:firstLine="0" w:firstLineChars="0"/>
        <w:jc w:val="center"/>
        <w:rPr>
          <w:rFonts w:hint="eastAsia" w:ascii="黑体" w:hAnsi="楷体" w:eastAsia="黑体"/>
          <w:b/>
          <w:sz w:val="60"/>
          <w:szCs w:val="60"/>
          <w:lang w:eastAsia="zh-CN"/>
        </w:rPr>
      </w:pPr>
      <w:r>
        <w:rPr>
          <w:rFonts w:hint="eastAsia" w:ascii="黑体" w:hAnsi="楷体" w:eastAsia="黑体"/>
          <w:b/>
          <w:sz w:val="72"/>
          <w:szCs w:val="72"/>
          <w:lang w:eastAsia="zh-CN"/>
        </w:rPr>
        <w:t>《旅游政策与法规》</w:t>
      </w:r>
    </w:p>
    <w:p w14:paraId="0EEA0C73">
      <w:pPr>
        <w:spacing w:line="240" w:lineRule="auto"/>
        <w:ind w:firstLine="0" w:firstLineChars="0"/>
        <w:jc w:val="center"/>
        <w:rPr>
          <w:sz w:val="24"/>
          <w:szCs w:val="21"/>
        </w:rPr>
      </w:pPr>
      <w:r>
        <w:rPr>
          <w:rFonts w:hint="eastAsia" w:ascii="黑体" w:hAnsi="楷体" w:eastAsia="黑体"/>
          <w:b/>
          <w:sz w:val="60"/>
          <w:szCs w:val="60"/>
        </w:rPr>
        <w:t>课程标准</w:t>
      </w:r>
    </w:p>
    <w:p w14:paraId="3CCDDB03">
      <w:pPr>
        <w:ind w:firstLine="560"/>
      </w:pPr>
    </w:p>
    <w:p w14:paraId="3F6694B3">
      <w:pPr>
        <w:ind w:firstLine="0" w:firstLineChars="0"/>
      </w:pPr>
    </w:p>
    <w:tbl>
      <w:tblPr>
        <w:tblStyle w:val="15"/>
        <w:tblpPr w:leftFromText="180" w:rightFromText="180" w:vertAnchor="text" w:horzAnchor="page" w:tblpX="1592" w:tblpY="282"/>
        <w:tblOverlap w:val="never"/>
        <w:tblW w:w="851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
      <w:tblGrid>
        <w:gridCol w:w="1860"/>
        <w:gridCol w:w="2208"/>
        <w:gridCol w:w="1801"/>
        <w:gridCol w:w="2647"/>
      </w:tblGrid>
      <w:tr w14:paraId="57F128B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42" w:hRule="atLeast"/>
        </w:trPr>
        <w:tc>
          <w:tcPr>
            <w:tcW w:w="1860" w:type="dxa"/>
            <w:tcBorders>
              <w:tl2br w:val="nil"/>
              <w:tr2bl w:val="nil"/>
            </w:tcBorders>
            <w:tcMar>
              <w:top w:w="28" w:type="dxa"/>
              <w:bottom w:w="28" w:type="dxa"/>
            </w:tcMar>
            <w:vAlign w:val="center"/>
          </w:tcPr>
          <w:p w14:paraId="6FFBB240">
            <w:pPr>
              <w:widowControl/>
              <w:adjustRightInd w:val="0"/>
              <w:snapToGrid w:val="0"/>
              <w:ind w:firstLine="0" w:firstLineChars="0"/>
              <w:jc w:val="center"/>
              <w:textAlignment w:val="center"/>
              <w:rPr>
                <w:rFonts w:cs="宋体"/>
                <w:sz w:val="24"/>
                <w:szCs w:val="24"/>
              </w:rPr>
            </w:pPr>
            <w:r>
              <w:rPr>
                <w:rFonts w:hint="eastAsia" w:cs="宋体"/>
                <w:sz w:val="24"/>
                <w:szCs w:val="24"/>
              </w:rPr>
              <w:t>课程负责人</w:t>
            </w:r>
          </w:p>
          <w:p w14:paraId="715DF50D">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208" w:type="dxa"/>
            <w:tcBorders>
              <w:tl2br w:val="nil"/>
              <w:tr2bl w:val="nil"/>
            </w:tcBorders>
            <w:tcMar>
              <w:top w:w="28" w:type="dxa"/>
              <w:bottom w:w="28" w:type="dxa"/>
            </w:tcMar>
            <w:vAlign w:val="center"/>
          </w:tcPr>
          <w:p w14:paraId="05297EDC">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14:paraId="198551DD">
            <w:pPr>
              <w:widowControl/>
              <w:adjustRightInd w:val="0"/>
              <w:snapToGrid w:val="0"/>
              <w:ind w:firstLine="0" w:firstLineChars="0"/>
              <w:jc w:val="center"/>
              <w:textAlignment w:val="center"/>
              <w:rPr>
                <w:rFonts w:cs="宋体"/>
                <w:sz w:val="24"/>
                <w:szCs w:val="24"/>
              </w:rPr>
            </w:pPr>
            <w:r>
              <w:rPr>
                <w:rFonts w:hint="eastAsia" w:cs="宋体"/>
                <w:sz w:val="24"/>
                <w:szCs w:val="24"/>
              </w:rPr>
              <w:t>教研组组长</w:t>
            </w:r>
          </w:p>
          <w:p w14:paraId="744F26ED">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647" w:type="dxa"/>
            <w:tcBorders>
              <w:tl2br w:val="nil"/>
              <w:tr2bl w:val="nil"/>
            </w:tcBorders>
            <w:tcMar>
              <w:top w:w="28" w:type="dxa"/>
              <w:bottom w:w="28" w:type="dxa"/>
            </w:tcMar>
            <w:vAlign w:val="center"/>
          </w:tcPr>
          <w:p w14:paraId="34FF9281">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r w14:paraId="3E535D9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21" w:hRule="atLeast"/>
        </w:trPr>
        <w:tc>
          <w:tcPr>
            <w:tcW w:w="1860" w:type="dxa"/>
            <w:tcBorders>
              <w:tl2br w:val="nil"/>
              <w:tr2bl w:val="nil"/>
            </w:tcBorders>
            <w:tcMar>
              <w:top w:w="28" w:type="dxa"/>
              <w:bottom w:w="28" w:type="dxa"/>
            </w:tcMar>
            <w:vAlign w:val="center"/>
          </w:tcPr>
          <w:p w14:paraId="6BD726FF">
            <w:pPr>
              <w:widowControl/>
              <w:adjustRightInd w:val="0"/>
              <w:snapToGrid w:val="0"/>
              <w:ind w:firstLine="0" w:firstLineChars="0"/>
              <w:jc w:val="center"/>
              <w:textAlignment w:val="center"/>
              <w:rPr>
                <w:sz w:val="24"/>
                <w:szCs w:val="24"/>
              </w:rPr>
            </w:pPr>
            <w:r>
              <w:rPr>
                <w:rFonts w:hint="eastAsia"/>
                <w:sz w:val="24"/>
                <w:szCs w:val="24"/>
              </w:rPr>
              <w:t>教学单位</w:t>
            </w:r>
          </w:p>
          <w:p w14:paraId="47DD874D">
            <w:pPr>
              <w:widowControl/>
              <w:adjustRightInd w:val="0"/>
              <w:snapToGrid w:val="0"/>
              <w:ind w:firstLine="0" w:firstLineChars="0"/>
              <w:jc w:val="center"/>
              <w:textAlignment w:val="center"/>
              <w:rPr>
                <w:rFonts w:eastAsia="宋体"/>
                <w:sz w:val="24"/>
                <w:szCs w:val="24"/>
              </w:rPr>
            </w:pPr>
            <w:r>
              <w:rPr>
                <w:rFonts w:hint="eastAsia"/>
                <w:sz w:val="24"/>
                <w:szCs w:val="24"/>
              </w:rPr>
              <w:t>负责人审核</w:t>
            </w:r>
          </w:p>
        </w:tc>
        <w:tc>
          <w:tcPr>
            <w:tcW w:w="2208" w:type="dxa"/>
            <w:tcBorders>
              <w:tl2br w:val="nil"/>
              <w:tr2bl w:val="nil"/>
            </w:tcBorders>
            <w:tcMar>
              <w:top w:w="28" w:type="dxa"/>
              <w:bottom w:w="28" w:type="dxa"/>
            </w:tcMar>
            <w:vAlign w:val="center"/>
          </w:tcPr>
          <w:p w14:paraId="777D64FF">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14:paraId="1488AC16">
            <w:pPr>
              <w:widowControl/>
              <w:adjustRightInd w:val="0"/>
              <w:snapToGrid w:val="0"/>
              <w:ind w:firstLine="0" w:firstLineChars="0"/>
              <w:jc w:val="center"/>
              <w:textAlignment w:val="center"/>
              <w:rPr>
                <w:rFonts w:cs="宋体"/>
                <w:sz w:val="24"/>
                <w:szCs w:val="24"/>
              </w:rPr>
            </w:pPr>
            <w:r>
              <w:rPr>
                <w:rFonts w:hint="eastAsia" w:cs="宋体"/>
                <w:sz w:val="24"/>
                <w:szCs w:val="24"/>
              </w:rPr>
              <w:t>教学管理部</w:t>
            </w:r>
          </w:p>
          <w:p w14:paraId="64F69107">
            <w:pPr>
              <w:widowControl/>
              <w:adjustRightInd w:val="0"/>
              <w:snapToGrid w:val="0"/>
              <w:ind w:firstLine="0" w:firstLineChars="0"/>
              <w:jc w:val="center"/>
              <w:textAlignment w:val="center"/>
              <w:rPr>
                <w:rFonts w:eastAsia="宋体"/>
                <w:sz w:val="24"/>
                <w:szCs w:val="24"/>
              </w:rPr>
            </w:pPr>
            <w:r>
              <w:rPr>
                <w:rFonts w:hint="eastAsia" w:cs="宋体"/>
                <w:sz w:val="24"/>
                <w:szCs w:val="24"/>
              </w:rPr>
              <w:t>负责人审核</w:t>
            </w:r>
          </w:p>
        </w:tc>
        <w:tc>
          <w:tcPr>
            <w:tcW w:w="2647" w:type="dxa"/>
            <w:tcBorders>
              <w:tl2br w:val="nil"/>
              <w:tr2bl w:val="nil"/>
            </w:tcBorders>
            <w:tcMar>
              <w:top w:w="28" w:type="dxa"/>
              <w:bottom w:w="28" w:type="dxa"/>
            </w:tcMar>
            <w:vAlign w:val="center"/>
          </w:tcPr>
          <w:p w14:paraId="568094B5">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bl>
    <w:p w14:paraId="3ED0F110">
      <w:pPr>
        <w:ind w:firstLine="0" w:firstLineChars="0"/>
      </w:pPr>
    </w:p>
    <w:p w14:paraId="383B31E2">
      <w:pPr>
        <w:snapToGrid w:val="0"/>
        <w:spacing w:line="360" w:lineRule="auto"/>
        <w:ind w:firstLine="720"/>
        <w:jc w:val="center"/>
        <w:rPr>
          <w:rFonts w:ascii="宋体" w:hAnsi="宋体" w:cs="宋体"/>
          <w:b/>
          <w:bCs/>
          <w:kern w:val="36"/>
          <w:sz w:val="36"/>
          <w:szCs w:val="36"/>
        </w:rPr>
      </w:pPr>
    </w:p>
    <w:p w14:paraId="36D1D6E4">
      <w:pPr>
        <w:snapToGrid w:val="0"/>
        <w:spacing w:line="360" w:lineRule="auto"/>
        <w:ind w:firstLine="720"/>
        <w:jc w:val="center"/>
        <w:rPr>
          <w:b/>
          <w:bCs/>
          <w:kern w:val="36"/>
          <w:sz w:val="36"/>
          <w:szCs w:val="36"/>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pgNumType w:start="1"/>
          <w:cols w:space="425" w:num="1"/>
          <w:docGrid w:type="lines" w:linePitch="312" w:charSpace="0"/>
        </w:sectPr>
      </w:pPr>
      <w:r>
        <w:rPr>
          <w:kern w:val="36"/>
          <w:sz w:val="36"/>
          <w:szCs w:val="36"/>
        </w:rPr>
        <w:t>202</w:t>
      </w:r>
      <w:r>
        <w:rPr>
          <w:rFonts w:hint="eastAsia"/>
          <w:kern w:val="36"/>
          <w:sz w:val="36"/>
          <w:szCs w:val="36"/>
          <w:lang w:val="en-US" w:eastAsia="zh-CN"/>
        </w:rPr>
        <w:t>5</w:t>
      </w:r>
      <w:r>
        <w:rPr>
          <w:b/>
          <w:bCs/>
          <w:kern w:val="36"/>
          <w:sz w:val="36"/>
          <w:szCs w:val="36"/>
        </w:rPr>
        <w:t>年</w:t>
      </w:r>
      <w:r>
        <w:rPr>
          <w:rFonts w:hint="eastAsia"/>
          <w:b/>
          <w:bCs/>
          <w:kern w:val="36"/>
          <w:sz w:val="36"/>
          <w:szCs w:val="36"/>
          <w:lang w:val="en-US" w:eastAsia="zh-CN"/>
        </w:rPr>
        <w:t>5</w:t>
      </w:r>
      <w:r>
        <w:rPr>
          <w:b/>
          <w:bCs/>
          <w:kern w:val="36"/>
          <w:sz w:val="36"/>
          <w:szCs w:val="36"/>
        </w:rPr>
        <w:t>月</w:t>
      </w:r>
    </w:p>
    <w:p w14:paraId="07D6A12A">
      <w:pPr>
        <w:snapToGrid w:val="0"/>
        <w:spacing w:line="360" w:lineRule="auto"/>
        <w:ind w:firstLine="0" w:firstLineChars="0"/>
        <w:rPr>
          <w:b/>
          <w:bCs/>
          <w:kern w:val="36"/>
          <w:sz w:val="36"/>
          <w:szCs w:val="36"/>
        </w:rPr>
      </w:pPr>
    </w:p>
    <w:sdt>
      <w:sdtPr>
        <w:rPr>
          <w:rFonts w:ascii="宋体" w:hAnsi="宋体" w:eastAsia="宋体"/>
          <w:sz w:val="21"/>
        </w:rPr>
        <w:id w:val="147451310"/>
        <w15:color w:val="DBDBDB"/>
        <w:docPartObj>
          <w:docPartGallery w:val="Table of Contents"/>
          <w:docPartUnique/>
        </w:docPartObj>
      </w:sdtPr>
      <w:sdtEndPr>
        <w:rPr>
          <w:rFonts w:hint="eastAsia" w:ascii="宋体" w:hAnsi="宋体" w:eastAsia="宋体" w:cs="宋体"/>
          <w:bCs/>
          <w:kern w:val="36"/>
          <w:sz w:val="21"/>
          <w:szCs w:val="36"/>
        </w:rPr>
      </w:sdtEndPr>
      <w:sdtContent>
        <w:p w14:paraId="38E15B2E">
          <w:pPr>
            <w:spacing w:line="240" w:lineRule="auto"/>
            <w:ind w:firstLine="0" w:firstLineChars="0"/>
            <w:jc w:val="center"/>
            <w:rPr>
              <w:rFonts w:ascii="宋体" w:hAnsi="宋体" w:eastAsia="宋体"/>
              <w:sz w:val="21"/>
            </w:rPr>
          </w:pPr>
        </w:p>
        <w:p w14:paraId="78D18813">
          <w:pPr>
            <w:spacing w:line="240" w:lineRule="auto"/>
            <w:ind w:firstLine="0" w:firstLineChars="0"/>
            <w:jc w:val="center"/>
            <w:rPr>
              <w:rFonts w:ascii="黑体" w:hAnsi="黑体" w:eastAsia="黑体" w:cs="黑体"/>
              <w:sz w:val="32"/>
              <w:szCs w:val="32"/>
            </w:rPr>
          </w:pPr>
          <w:r>
            <w:rPr>
              <w:rFonts w:hint="eastAsia" w:ascii="黑体" w:hAnsi="黑体" w:eastAsia="黑体" w:cs="黑体"/>
              <w:sz w:val="32"/>
              <w:szCs w:val="32"/>
            </w:rPr>
            <w:t>目  录</w:t>
          </w:r>
        </w:p>
        <w:p w14:paraId="6E27E9A4">
          <w:pPr>
            <w:pStyle w:val="11"/>
            <w:tabs>
              <w:tab w:val="right" w:leader="dot" w:pos="8306"/>
            </w:tabs>
          </w:pPr>
          <w:r>
            <w:rPr>
              <w:rFonts w:hint="eastAsia" w:ascii="宋体" w:hAnsi="宋体" w:eastAsia="宋体" w:cs="宋体"/>
              <w:kern w:val="36"/>
              <w:sz w:val="21"/>
              <w:szCs w:val="36"/>
            </w:rPr>
            <w:fldChar w:fldCharType="begin"/>
          </w:r>
          <w:r>
            <w:rPr>
              <w:rFonts w:hint="eastAsia" w:ascii="宋体" w:hAnsi="宋体" w:eastAsia="宋体" w:cs="宋体"/>
              <w:kern w:val="36"/>
              <w:sz w:val="21"/>
              <w:szCs w:val="36"/>
            </w:rPr>
            <w:instrText xml:space="preserve">TOC \o "1-3" \h \u </w:instrText>
          </w:r>
          <w:r>
            <w:rPr>
              <w:rFonts w:hint="eastAsia" w:ascii="宋体" w:hAnsi="宋体" w:eastAsia="宋体" w:cs="宋体"/>
              <w:kern w:val="36"/>
              <w:sz w:val="21"/>
              <w:szCs w:val="36"/>
            </w:rPr>
            <w:fldChar w:fldCharType="separate"/>
          </w:r>
          <w:r>
            <w:rPr>
              <w:rFonts w:hint="eastAsia" w:ascii="宋体" w:hAnsi="宋体" w:eastAsia="宋体" w:cs="宋体"/>
              <w:kern w:val="36"/>
              <w:szCs w:val="36"/>
            </w:rPr>
            <w:fldChar w:fldCharType="begin"/>
          </w:r>
          <w:r>
            <w:rPr>
              <w:rFonts w:hint="eastAsia" w:ascii="宋体" w:hAnsi="宋体" w:eastAsia="宋体" w:cs="宋体"/>
              <w:kern w:val="36"/>
              <w:szCs w:val="36"/>
            </w:rPr>
            <w:instrText xml:space="preserve"> HYPERLINK \l _Toc11713 </w:instrText>
          </w:r>
          <w:r>
            <w:rPr>
              <w:rFonts w:hint="eastAsia" w:ascii="宋体" w:hAnsi="宋体" w:eastAsia="宋体" w:cs="宋体"/>
              <w:kern w:val="36"/>
              <w:szCs w:val="36"/>
            </w:rPr>
            <w:fldChar w:fldCharType="separate"/>
          </w:r>
          <w:r>
            <w:rPr>
              <w:rFonts w:hint="eastAsia"/>
            </w:rPr>
            <w:t>一、课程基本信息</w:t>
          </w:r>
          <w:r>
            <w:tab/>
          </w:r>
          <w:r>
            <w:fldChar w:fldCharType="begin"/>
          </w:r>
          <w:r>
            <w:instrText xml:space="preserve"> PAGEREF _Toc11713 \h </w:instrText>
          </w:r>
          <w:r>
            <w:fldChar w:fldCharType="separate"/>
          </w:r>
          <w:r>
            <w:t>1</w:t>
          </w:r>
          <w:r>
            <w:fldChar w:fldCharType="end"/>
          </w:r>
          <w:r>
            <w:rPr>
              <w:rFonts w:hint="eastAsia" w:ascii="宋体" w:hAnsi="宋体" w:eastAsia="宋体" w:cs="宋体"/>
              <w:kern w:val="36"/>
              <w:szCs w:val="36"/>
            </w:rPr>
            <w:fldChar w:fldCharType="end"/>
          </w:r>
        </w:p>
        <w:p w14:paraId="33812737">
          <w:pPr>
            <w:pStyle w:val="11"/>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_Toc20662 </w:instrText>
          </w:r>
          <w:r>
            <w:rPr>
              <w:rFonts w:hint="eastAsia" w:ascii="宋体" w:hAnsi="宋体" w:eastAsia="宋体" w:cs="宋体"/>
              <w:bCs/>
              <w:kern w:val="36"/>
              <w:szCs w:val="36"/>
            </w:rPr>
            <w:fldChar w:fldCharType="separate"/>
          </w:r>
          <w:r>
            <w:rPr>
              <w:rFonts w:hint="eastAsia"/>
            </w:rPr>
            <w:t>二、 课程任务</w:t>
          </w:r>
          <w:r>
            <w:tab/>
          </w:r>
          <w:r>
            <w:fldChar w:fldCharType="begin"/>
          </w:r>
          <w:r>
            <w:instrText xml:space="preserve"> PAGEREF _Toc20662 \h </w:instrText>
          </w:r>
          <w:r>
            <w:fldChar w:fldCharType="separate"/>
          </w:r>
          <w:r>
            <w:t>1</w:t>
          </w:r>
          <w:r>
            <w:fldChar w:fldCharType="end"/>
          </w:r>
          <w:r>
            <w:rPr>
              <w:rFonts w:hint="eastAsia" w:ascii="宋体" w:hAnsi="宋体" w:eastAsia="宋体" w:cs="宋体"/>
              <w:bCs/>
              <w:kern w:val="36"/>
              <w:szCs w:val="36"/>
            </w:rPr>
            <w:fldChar w:fldCharType="end"/>
          </w:r>
        </w:p>
        <w:p w14:paraId="1A652222">
          <w:pPr>
            <w:pStyle w:val="11"/>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_Toc32454 </w:instrText>
          </w:r>
          <w:r>
            <w:rPr>
              <w:rFonts w:hint="eastAsia" w:ascii="宋体" w:hAnsi="宋体" w:eastAsia="宋体" w:cs="宋体"/>
              <w:bCs/>
              <w:kern w:val="36"/>
              <w:szCs w:val="36"/>
            </w:rPr>
            <w:fldChar w:fldCharType="separate"/>
          </w:r>
          <w:r>
            <w:rPr>
              <w:rFonts w:hint="eastAsia"/>
            </w:rPr>
            <w:t>三、课程目标</w:t>
          </w:r>
          <w:r>
            <w:tab/>
          </w:r>
          <w:r>
            <w:fldChar w:fldCharType="begin"/>
          </w:r>
          <w:r>
            <w:instrText xml:space="preserve"> PAGEREF _Toc32454 \h </w:instrText>
          </w:r>
          <w:r>
            <w:fldChar w:fldCharType="separate"/>
          </w:r>
          <w:r>
            <w:t>2</w:t>
          </w:r>
          <w:r>
            <w:fldChar w:fldCharType="end"/>
          </w:r>
          <w:r>
            <w:rPr>
              <w:rFonts w:hint="eastAsia" w:ascii="宋体" w:hAnsi="宋体" w:eastAsia="宋体" w:cs="宋体"/>
              <w:bCs/>
              <w:kern w:val="36"/>
              <w:szCs w:val="36"/>
            </w:rPr>
            <w:fldChar w:fldCharType="end"/>
          </w:r>
        </w:p>
        <w:p w14:paraId="6424435F">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_Toc23227 </w:instrText>
          </w:r>
          <w:r>
            <w:rPr>
              <w:rFonts w:hint="eastAsia" w:ascii="宋体" w:hAnsi="宋体" w:eastAsia="宋体" w:cs="宋体"/>
              <w:bCs/>
              <w:kern w:val="36"/>
              <w:szCs w:val="36"/>
            </w:rPr>
            <w:fldChar w:fldCharType="separate"/>
          </w:r>
          <w:r>
            <w:rPr>
              <w:rFonts w:hint="eastAsia"/>
            </w:rPr>
            <w:t>（一） 素质目标</w:t>
          </w:r>
          <w:r>
            <w:tab/>
          </w:r>
          <w:r>
            <w:fldChar w:fldCharType="begin"/>
          </w:r>
          <w:r>
            <w:instrText xml:space="preserve"> PAGEREF _Toc23227 \h </w:instrText>
          </w:r>
          <w:r>
            <w:fldChar w:fldCharType="separate"/>
          </w:r>
          <w:r>
            <w:t>2</w:t>
          </w:r>
          <w:r>
            <w:fldChar w:fldCharType="end"/>
          </w:r>
          <w:r>
            <w:rPr>
              <w:rFonts w:hint="eastAsia" w:ascii="宋体" w:hAnsi="宋体" w:eastAsia="宋体" w:cs="宋体"/>
              <w:bCs/>
              <w:kern w:val="36"/>
              <w:szCs w:val="36"/>
            </w:rPr>
            <w:fldChar w:fldCharType="end"/>
          </w:r>
        </w:p>
        <w:p w14:paraId="37784365">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_Toc21402 </w:instrText>
          </w:r>
          <w:r>
            <w:rPr>
              <w:rFonts w:hint="eastAsia" w:ascii="宋体" w:hAnsi="宋体" w:eastAsia="宋体" w:cs="宋体"/>
              <w:bCs/>
              <w:kern w:val="36"/>
              <w:szCs w:val="36"/>
            </w:rPr>
            <w:fldChar w:fldCharType="separate"/>
          </w:r>
          <w:r>
            <w:rPr>
              <w:rFonts w:hint="eastAsia"/>
            </w:rPr>
            <w:t>（二） 知识目标</w:t>
          </w:r>
          <w:r>
            <w:tab/>
          </w:r>
          <w:r>
            <w:fldChar w:fldCharType="begin"/>
          </w:r>
          <w:r>
            <w:instrText xml:space="preserve"> PAGEREF _Toc21402 \h </w:instrText>
          </w:r>
          <w:r>
            <w:fldChar w:fldCharType="separate"/>
          </w:r>
          <w:r>
            <w:t>2</w:t>
          </w:r>
          <w:r>
            <w:fldChar w:fldCharType="end"/>
          </w:r>
          <w:r>
            <w:rPr>
              <w:rFonts w:hint="eastAsia" w:ascii="宋体" w:hAnsi="宋体" w:eastAsia="宋体" w:cs="宋体"/>
              <w:bCs/>
              <w:kern w:val="36"/>
              <w:szCs w:val="36"/>
            </w:rPr>
            <w:fldChar w:fldCharType="end"/>
          </w:r>
        </w:p>
        <w:p w14:paraId="7F8B83E3">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_Toc17716 </w:instrText>
          </w:r>
          <w:r>
            <w:rPr>
              <w:rFonts w:hint="eastAsia" w:ascii="宋体" w:hAnsi="宋体" w:eastAsia="宋体" w:cs="宋体"/>
              <w:bCs/>
              <w:kern w:val="36"/>
              <w:szCs w:val="36"/>
            </w:rPr>
            <w:fldChar w:fldCharType="separate"/>
          </w:r>
          <w:r>
            <w:rPr>
              <w:rFonts w:hint="eastAsia"/>
            </w:rPr>
            <w:t>（三） 能力目标</w:t>
          </w:r>
          <w:r>
            <w:tab/>
          </w:r>
          <w:r>
            <w:fldChar w:fldCharType="begin"/>
          </w:r>
          <w:r>
            <w:instrText xml:space="preserve"> PAGEREF _Toc17716 \h </w:instrText>
          </w:r>
          <w:r>
            <w:fldChar w:fldCharType="separate"/>
          </w:r>
          <w:r>
            <w:t>3</w:t>
          </w:r>
          <w:r>
            <w:fldChar w:fldCharType="end"/>
          </w:r>
          <w:r>
            <w:rPr>
              <w:rFonts w:hint="eastAsia" w:ascii="宋体" w:hAnsi="宋体" w:eastAsia="宋体" w:cs="宋体"/>
              <w:bCs/>
              <w:kern w:val="36"/>
              <w:szCs w:val="36"/>
            </w:rPr>
            <w:fldChar w:fldCharType="end"/>
          </w:r>
        </w:p>
        <w:p w14:paraId="2E3C31E5">
          <w:pPr>
            <w:pStyle w:val="11"/>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_Toc5235 </w:instrText>
          </w:r>
          <w:r>
            <w:rPr>
              <w:rFonts w:hint="eastAsia" w:ascii="宋体" w:hAnsi="宋体" w:eastAsia="宋体" w:cs="宋体"/>
              <w:bCs/>
              <w:kern w:val="36"/>
              <w:szCs w:val="36"/>
            </w:rPr>
            <w:fldChar w:fldCharType="separate"/>
          </w:r>
          <w:r>
            <w:rPr>
              <w:rFonts w:hint="eastAsia"/>
            </w:rPr>
            <w:t>四、课程职业能力分析</w:t>
          </w:r>
          <w:r>
            <w:tab/>
          </w:r>
          <w:r>
            <w:fldChar w:fldCharType="begin"/>
          </w:r>
          <w:r>
            <w:instrText xml:space="preserve"> PAGEREF _Toc5235 \h </w:instrText>
          </w:r>
          <w:r>
            <w:fldChar w:fldCharType="separate"/>
          </w:r>
          <w:r>
            <w:t>3</w:t>
          </w:r>
          <w:r>
            <w:fldChar w:fldCharType="end"/>
          </w:r>
          <w:r>
            <w:rPr>
              <w:rFonts w:hint="eastAsia" w:ascii="宋体" w:hAnsi="宋体" w:eastAsia="宋体" w:cs="宋体"/>
              <w:bCs/>
              <w:kern w:val="36"/>
              <w:szCs w:val="36"/>
            </w:rPr>
            <w:fldChar w:fldCharType="end"/>
          </w:r>
        </w:p>
        <w:p w14:paraId="0E0B19A4">
          <w:pPr>
            <w:pStyle w:val="11"/>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_Toc20607 </w:instrText>
          </w:r>
          <w:r>
            <w:rPr>
              <w:rFonts w:hint="eastAsia" w:ascii="宋体" w:hAnsi="宋体" w:eastAsia="宋体" w:cs="宋体"/>
              <w:bCs/>
              <w:kern w:val="36"/>
              <w:szCs w:val="36"/>
            </w:rPr>
            <w:fldChar w:fldCharType="separate"/>
          </w:r>
          <w:r>
            <w:rPr>
              <w:rFonts w:hint="eastAsia"/>
            </w:rPr>
            <w:t>五、课程设计思路</w:t>
          </w:r>
          <w:r>
            <w:tab/>
          </w:r>
          <w:r>
            <w:fldChar w:fldCharType="begin"/>
          </w:r>
          <w:r>
            <w:instrText xml:space="preserve"> PAGEREF _Toc20607 \h </w:instrText>
          </w:r>
          <w:r>
            <w:fldChar w:fldCharType="separate"/>
          </w:r>
          <w:r>
            <w:t>5</w:t>
          </w:r>
          <w:r>
            <w:fldChar w:fldCharType="end"/>
          </w:r>
          <w:r>
            <w:rPr>
              <w:rFonts w:hint="eastAsia" w:ascii="宋体" w:hAnsi="宋体" w:eastAsia="宋体" w:cs="宋体"/>
              <w:bCs/>
              <w:kern w:val="36"/>
              <w:szCs w:val="36"/>
            </w:rPr>
            <w:fldChar w:fldCharType="end"/>
          </w:r>
        </w:p>
        <w:p w14:paraId="4B20ABD2">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_Toc7471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一</w:t>
          </w:r>
          <w:r>
            <w:rPr>
              <w:rFonts w:hint="eastAsia"/>
              <w:lang w:eastAsia="zh-CN"/>
            </w:rPr>
            <w:t>）</w:t>
          </w:r>
          <w:r>
            <w:rPr>
              <w:rFonts w:hint="eastAsia"/>
            </w:rPr>
            <w:t>教学路径</w:t>
          </w:r>
          <w:r>
            <w:tab/>
          </w:r>
          <w:r>
            <w:fldChar w:fldCharType="begin"/>
          </w:r>
          <w:r>
            <w:instrText xml:space="preserve"> PAGEREF _Toc7471 \h </w:instrText>
          </w:r>
          <w:r>
            <w:fldChar w:fldCharType="separate"/>
          </w:r>
          <w:r>
            <w:t>5</w:t>
          </w:r>
          <w:r>
            <w:fldChar w:fldCharType="end"/>
          </w:r>
          <w:r>
            <w:rPr>
              <w:rFonts w:hint="eastAsia" w:ascii="宋体" w:hAnsi="宋体" w:eastAsia="宋体" w:cs="宋体"/>
              <w:bCs/>
              <w:kern w:val="36"/>
              <w:szCs w:val="36"/>
            </w:rPr>
            <w:fldChar w:fldCharType="end"/>
          </w:r>
        </w:p>
        <w:p w14:paraId="30B75871">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_Toc31255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二</w:t>
          </w:r>
          <w:r>
            <w:rPr>
              <w:rFonts w:hint="eastAsia"/>
              <w:lang w:eastAsia="zh-CN"/>
            </w:rPr>
            <w:t>）</w:t>
          </w:r>
          <w:r>
            <w:rPr>
              <w:rFonts w:hint="eastAsia"/>
            </w:rPr>
            <w:t>教学评价</w:t>
          </w:r>
          <w:r>
            <w:tab/>
          </w:r>
          <w:r>
            <w:fldChar w:fldCharType="begin"/>
          </w:r>
          <w:r>
            <w:instrText xml:space="preserve"> PAGEREF _Toc31255 \h </w:instrText>
          </w:r>
          <w:r>
            <w:fldChar w:fldCharType="separate"/>
          </w:r>
          <w:r>
            <w:t>6</w:t>
          </w:r>
          <w:r>
            <w:fldChar w:fldCharType="end"/>
          </w:r>
          <w:r>
            <w:rPr>
              <w:rFonts w:hint="eastAsia" w:ascii="宋体" w:hAnsi="宋体" w:eastAsia="宋体" w:cs="宋体"/>
              <w:bCs/>
              <w:kern w:val="36"/>
              <w:szCs w:val="36"/>
            </w:rPr>
            <w:fldChar w:fldCharType="end"/>
          </w:r>
        </w:p>
        <w:p w14:paraId="077A722B">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_Toc2599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三</w:t>
          </w:r>
          <w:r>
            <w:rPr>
              <w:rFonts w:hint="eastAsia"/>
              <w:lang w:eastAsia="zh-CN"/>
            </w:rPr>
            <w:t>）</w:t>
          </w:r>
          <w:r>
            <w:rPr>
              <w:rFonts w:hint="eastAsia"/>
            </w:rPr>
            <w:t>课程思政</w:t>
          </w:r>
          <w:r>
            <w:tab/>
          </w:r>
          <w:r>
            <w:fldChar w:fldCharType="begin"/>
          </w:r>
          <w:r>
            <w:instrText xml:space="preserve"> PAGEREF _Toc2599 \h </w:instrText>
          </w:r>
          <w:r>
            <w:fldChar w:fldCharType="separate"/>
          </w:r>
          <w:r>
            <w:t>6</w:t>
          </w:r>
          <w:r>
            <w:fldChar w:fldCharType="end"/>
          </w:r>
          <w:r>
            <w:rPr>
              <w:rFonts w:hint="eastAsia" w:ascii="宋体" w:hAnsi="宋体" w:eastAsia="宋体" w:cs="宋体"/>
              <w:bCs/>
              <w:kern w:val="36"/>
              <w:szCs w:val="36"/>
            </w:rPr>
            <w:fldChar w:fldCharType="end"/>
          </w:r>
        </w:p>
        <w:p w14:paraId="649BD953">
          <w:pPr>
            <w:pStyle w:val="11"/>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_Toc22160 </w:instrText>
          </w:r>
          <w:r>
            <w:rPr>
              <w:rFonts w:hint="eastAsia" w:ascii="宋体" w:hAnsi="宋体" w:eastAsia="宋体" w:cs="宋体"/>
              <w:bCs/>
              <w:kern w:val="36"/>
              <w:szCs w:val="36"/>
            </w:rPr>
            <w:fldChar w:fldCharType="separate"/>
          </w:r>
          <w:r>
            <w:rPr>
              <w:rFonts w:hint="eastAsia"/>
            </w:rPr>
            <w:t>六、课程结构与内容</w:t>
          </w:r>
          <w:r>
            <w:tab/>
          </w:r>
          <w:r>
            <w:fldChar w:fldCharType="begin"/>
          </w:r>
          <w:r>
            <w:instrText xml:space="preserve"> PAGEREF _Toc22160 \h </w:instrText>
          </w:r>
          <w:r>
            <w:fldChar w:fldCharType="separate"/>
          </w:r>
          <w:r>
            <w:t>7</w:t>
          </w:r>
          <w:r>
            <w:fldChar w:fldCharType="end"/>
          </w:r>
          <w:r>
            <w:rPr>
              <w:rFonts w:hint="eastAsia" w:ascii="宋体" w:hAnsi="宋体" w:eastAsia="宋体" w:cs="宋体"/>
              <w:bCs/>
              <w:kern w:val="36"/>
              <w:szCs w:val="36"/>
            </w:rPr>
            <w:fldChar w:fldCharType="end"/>
          </w:r>
        </w:p>
        <w:p w14:paraId="5CEE57D3">
          <w:pPr>
            <w:pStyle w:val="11"/>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_Toc26810 </w:instrText>
          </w:r>
          <w:r>
            <w:rPr>
              <w:rFonts w:hint="eastAsia" w:ascii="宋体" w:hAnsi="宋体" w:eastAsia="宋体" w:cs="宋体"/>
              <w:bCs/>
              <w:kern w:val="36"/>
              <w:szCs w:val="36"/>
            </w:rPr>
            <w:fldChar w:fldCharType="separate"/>
          </w:r>
          <w:r>
            <w:rPr>
              <w:rFonts w:hint="eastAsia" w:ascii="仿宋" w:hAnsi="仿宋" w:eastAsia="仿宋" w:cs="仿宋"/>
              <w:kern w:val="0"/>
              <w:szCs w:val="24"/>
              <w:lang w:val="en-US" w:eastAsia="zh-CN" w:bidi="ar-SA"/>
            </w:rPr>
            <w:t>旅行社产品开发</w:t>
          </w:r>
          <w:r>
            <w:tab/>
          </w:r>
          <w:r>
            <w:fldChar w:fldCharType="begin"/>
          </w:r>
          <w:r>
            <w:instrText xml:space="preserve"> PAGEREF _Toc26810 \h </w:instrText>
          </w:r>
          <w:r>
            <w:fldChar w:fldCharType="separate"/>
          </w:r>
          <w:r>
            <w:t>8</w:t>
          </w:r>
          <w:r>
            <w:fldChar w:fldCharType="end"/>
          </w:r>
          <w:r>
            <w:rPr>
              <w:rFonts w:hint="eastAsia" w:ascii="宋体" w:hAnsi="宋体" w:eastAsia="宋体" w:cs="宋体"/>
              <w:bCs/>
              <w:kern w:val="36"/>
              <w:szCs w:val="36"/>
            </w:rPr>
            <w:fldChar w:fldCharType="end"/>
          </w:r>
        </w:p>
        <w:p w14:paraId="5A76444A">
          <w:pPr>
            <w:pStyle w:val="11"/>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_Toc17537 </w:instrText>
          </w:r>
          <w:r>
            <w:rPr>
              <w:rFonts w:hint="eastAsia" w:ascii="宋体" w:hAnsi="宋体" w:eastAsia="宋体" w:cs="宋体"/>
              <w:bCs/>
              <w:kern w:val="36"/>
              <w:szCs w:val="36"/>
            </w:rPr>
            <w:fldChar w:fldCharType="separate"/>
          </w:r>
          <w:r>
            <w:rPr>
              <w:rFonts w:hint="eastAsia"/>
            </w:rPr>
            <w:t>七、学习评价</w:t>
          </w:r>
          <w:r>
            <w:tab/>
          </w:r>
          <w:r>
            <w:fldChar w:fldCharType="begin"/>
          </w:r>
          <w:r>
            <w:instrText xml:space="preserve"> PAGEREF _Toc17537 \h </w:instrText>
          </w:r>
          <w:r>
            <w:fldChar w:fldCharType="separate"/>
          </w:r>
          <w:r>
            <w:t>10</w:t>
          </w:r>
          <w:r>
            <w:fldChar w:fldCharType="end"/>
          </w:r>
          <w:r>
            <w:rPr>
              <w:rFonts w:hint="eastAsia" w:ascii="宋体" w:hAnsi="宋体" w:eastAsia="宋体" w:cs="宋体"/>
              <w:bCs/>
              <w:kern w:val="36"/>
              <w:szCs w:val="36"/>
            </w:rPr>
            <w:fldChar w:fldCharType="end"/>
          </w:r>
        </w:p>
        <w:p w14:paraId="724F1FC3">
          <w:pPr>
            <w:pStyle w:val="11"/>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_Toc20745 </w:instrText>
          </w:r>
          <w:r>
            <w:rPr>
              <w:rFonts w:hint="eastAsia" w:ascii="宋体" w:hAnsi="宋体" w:eastAsia="宋体" w:cs="宋体"/>
              <w:bCs/>
              <w:kern w:val="36"/>
              <w:szCs w:val="36"/>
            </w:rPr>
            <w:fldChar w:fldCharType="separate"/>
          </w:r>
          <w:r>
            <w:rPr>
              <w:rFonts w:hint="eastAsia"/>
            </w:rPr>
            <w:t>八、教学资源</w:t>
          </w:r>
          <w:r>
            <w:tab/>
          </w:r>
          <w:r>
            <w:fldChar w:fldCharType="begin"/>
          </w:r>
          <w:r>
            <w:instrText xml:space="preserve"> PAGEREF _Toc20745 \h </w:instrText>
          </w:r>
          <w:r>
            <w:fldChar w:fldCharType="separate"/>
          </w:r>
          <w:r>
            <w:t>12</w:t>
          </w:r>
          <w:r>
            <w:fldChar w:fldCharType="end"/>
          </w:r>
          <w:r>
            <w:rPr>
              <w:rFonts w:hint="eastAsia" w:ascii="宋体" w:hAnsi="宋体" w:eastAsia="宋体" w:cs="宋体"/>
              <w:bCs/>
              <w:kern w:val="36"/>
              <w:szCs w:val="36"/>
            </w:rPr>
            <w:fldChar w:fldCharType="end"/>
          </w:r>
        </w:p>
        <w:p w14:paraId="3D673164">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_Toc1991 </w:instrText>
          </w:r>
          <w:r>
            <w:rPr>
              <w:rFonts w:hint="eastAsia" w:ascii="宋体" w:hAnsi="宋体" w:eastAsia="宋体" w:cs="宋体"/>
              <w:bCs/>
              <w:kern w:val="36"/>
              <w:szCs w:val="36"/>
            </w:rPr>
            <w:fldChar w:fldCharType="separate"/>
          </w:r>
          <w:r>
            <w:rPr>
              <w:rFonts w:hint="eastAsia"/>
            </w:rPr>
            <w:t>（一）主要参考教材</w:t>
          </w:r>
          <w:r>
            <w:tab/>
          </w:r>
          <w:r>
            <w:fldChar w:fldCharType="begin"/>
          </w:r>
          <w:r>
            <w:instrText xml:space="preserve"> PAGEREF _Toc1991 \h </w:instrText>
          </w:r>
          <w:r>
            <w:fldChar w:fldCharType="separate"/>
          </w:r>
          <w:r>
            <w:t>12</w:t>
          </w:r>
          <w:r>
            <w:fldChar w:fldCharType="end"/>
          </w:r>
          <w:r>
            <w:rPr>
              <w:rFonts w:hint="eastAsia" w:ascii="宋体" w:hAnsi="宋体" w:eastAsia="宋体" w:cs="宋体"/>
              <w:bCs/>
              <w:kern w:val="36"/>
              <w:szCs w:val="36"/>
            </w:rPr>
            <w:fldChar w:fldCharType="end"/>
          </w:r>
        </w:p>
        <w:p w14:paraId="6863646B">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_Toc23228 </w:instrText>
          </w:r>
          <w:r>
            <w:rPr>
              <w:rFonts w:hint="eastAsia" w:ascii="宋体" w:hAnsi="宋体" w:eastAsia="宋体" w:cs="宋体"/>
              <w:bCs/>
              <w:kern w:val="36"/>
              <w:szCs w:val="36"/>
            </w:rPr>
            <w:fldChar w:fldCharType="separate"/>
          </w:r>
          <w:r>
            <w:rPr>
              <w:rFonts w:hint="eastAsia"/>
            </w:rPr>
            <w:t>（二） 其他参考资料</w:t>
          </w:r>
          <w:r>
            <w:tab/>
          </w:r>
          <w:r>
            <w:fldChar w:fldCharType="begin"/>
          </w:r>
          <w:r>
            <w:instrText xml:space="preserve"> PAGEREF _Toc23228 \h </w:instrText>
          </w:r>
          <w:r>
            <w:fldChar w:fldCharType="separate"/>
          </w:r>
          <w:r>
            <w:t>12</w:t>
          </w:r>
          <w:r>
            <w:fldChar w:fldCharType="end"/>
          </w:r>
          <w:r>
            <w:rPr>
              <w:rFonts w:hint="eastAsia" w:ascii="宋体" w:hAnsi="宋体" w:eastAsia="宋体" w:cs="宋体"/>
              <w:bCs/>
              <w:kern w:val="36"/>
              <w:szCs w:val="36"/>
            </w:rPr>
            <w:fldChar w:fldCharType="end"/>
          </w:r>
        </w:p>
        <w:p w14:paraId="3BE1DAA4">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_Toc6077 </w:instrText>
          </w:r>
          <w:r>
            <w:rPr>
              <w:rFonts w:hint="eastAsia" w:ascii="宋体" w:hAnsi="宋体" w:eastAsia="宋体" w:cs="宋体"/>
              <w:bCs/>
              <w:kern w:val="36"/>
              <w:szCs w:val="36"/>
            </w:rPr>
            <w:fldChar w:fldCharType="separate"/>
          </w:r>
          <w:r>
            <w:rPr>
              <w:rFonts w:hint="eastAsia"/>
            </w:rPr>
            <w:t>（三）实训条件</w:t>
          </w:r>
          <w:r>
            <w:tab/>
          </w:r>
          <w:r>
            <w:fldChar w:fldCharType="begin"/>
          </w:r>
          <w:r>
            <w:instrText xml:space="preserve"> PAGEREF _Toc6077 \h </w:instrText>
          </w:r>
          <w:r>
            <w:fldChar w:fldCharType="separate"/>
          </w:r>
          <w:r>
            <w:t>12</w:t>
          </w:r>
          <w:r>
            <w:fldChar w:fldCharType="end"/>
          </w:r>
          <w:r>
            <w:rPr>
              <w:rFonts w:hint="eastAsia" w:ascii="宋体" w:hAnsi="宋体" w:eastAsia="宋体" w:cs="宋体"/>
              <w:bCs/>
              <w:kern w:val="36"/>
              <w:szCs w:val="36"/>
            </w:rPr>
            <w:fldChar w:fldCharType="end"/>
          </w:r>
        </w:p>
        <w:p w14:paraId="76C24AA7">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_Toc97 </w:instrText>
          </w:r>
          <w:r>
            <w:rPr>
              <w:rFonts w:hint="eastAsia" w:ascii="宋体" w:hAnsi="宋体" w:eastAsia="宋体" w:cs="宋体"/>
              <w:bCs/>
              <w:kern w:val="36"/>
              <w:szCs w:val="36"/>
            </w:rPr>
            <w:fldChar w:fldCharType="separate"/>
          </w:r>
          <w:r>
            <w:rPr>
              <w:rFonts w:hint="eastAsia"/>
            </w:rPr>
            <w:t>（四）信息化教学资源</w:t>
          </w:r>
          <w:r>
            <w:tab/>
          </w:r>
          <w:r>
            <w:fldChar w:fldCharType="begin"/>
          </w:r>
          <w:r>
            <w:instrText xml:space="preserve"> PAGEREF _Toc97 \h </w:instrText>
          </w:r>
          <w:r>
            <w:fldChar w:fldCharType="separate"/>
          </w:r>
          <w:r>
            <w:t>13</w:t>
          </w:r>
          <w:r>
            <w:fldChar w:fldCharType="end"/>
          </w:r>
          <w:r>
            <w:rPr>
              <w:rFonts w:hint="eastAsia" w:ascii="宋体" w:hAnsi="宋体" w:eastAsia="宋体" w:cs="宋体"/>
              <w:bCs/>
              <w:kern w:val="36"/>
              <w:szCs w:val="36"/>
            </w:rPr>
            <w:fldChar w:fldCharType="end"/>
          </w:r>
        </w:p>
        <w:p w14:paraId="280FD6F9">
          <w:pPr>
            <w:pStyle w:val="11"/>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_Toc10388 </w:instrText>
          </w:r>
          <w:r>
            <w:rPr>
              <w:rFonts w:hint="eastAsia" w:ascii="宋体" w:hAnsi="宋体" w:eastAsia="宋体" w:cs="宋体"/>
              <w:bCs/>
              <w:kern w:val="36"/>
              <w:szCs w:val="36"/>
            </w:rPr>
            <w:fldChar w:fldCharType="separate"/>
          </w:r>
          <w:r>
            <w:rPr>
              <w:rFonts w:hint="eastAsia"/>
              <w:lang w:eastAsia="zh-CN"/>
            </w:rPr>
            <w:t xml:space="preserve">九、 </w:t>
          </w:r>
          <w:r>
            <w:rPr>
              <w:rFonts w:hint="eastAsia"/>
            </w:rPr>
            <w:t>师资要求</w:t>
          </w:r>
          <w:r>
            <w:tab/>
          </w:r>
          <w:r>
            <w:fldChar w:fldCharType="begin"/>
          </w:r>
          <w:r>
            <w:instrText xml:space="preserve"> PAGEREF _Toc10388 \h </w:instrText>
          </w:r>
          <w:r>
            <w:fldChar w:fldCharType="separate"/>
          </w:r>
          <w:r>
            <w:t>13</w:t>
          </w:r>
          <w:r>
            <w:fldChar w:fldCharType="end"/>
          </w:r>
          <w:r>
            <w:rPr>
              <w:rFonts w:hint="eastAsia" w:ascii="宋体" w:hAnsi="宋体" w:eastAsia="宋体" w:cs="宋体"/>
              <w:bCs/>
              <w:kern w:val="36"/>
              <w:szCs w:val="36"/>
            </w:rPr>
            <w:fldChar w:fldCharType="end"/>
          </w:r>
        </w:p>
        <w:p w14:paraId="25AECB3E">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_Toc30081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一</w:t>
          </w:r>
          <w:r>
            <w:rPr>
              <w:rFonts w:hint="eastAsia"/>
              <w:lang w:eastAsia="zh-CN"/>
            </w:rPr>
            <w:t>）</w:t>
          </w:r>
          <w:r>
            <w:rPr>
              <w:rFonts w:hint="eastAsia"/>
            </w:rPr>
            <w:t>对“双师型”教学团队的基本要求</w:t>
          </w:r>
          <w:r>
            <w:tab/>
          </w:r>
          <w:r>
            <w:fldChar w:fldCharType="begin"/>
          </w:r>
          <w:r>
            <w:instrText xml:space="preserve"> PAGEREF _Toc30081 \h </w:instrText>
          </w:r>
          <w:r>
            <w:fldChar w:fldCharType="separate"/>
          </w:r>
          <w:r>
            <w:t>13</w:t>
          </w:r>
          <w:r>
            <w:fldChar w:fldCharType="end"/>
          </w:r>
          <w:r>
            <w:rPr>
              <w:rFonts w:hint="eastAsia" w:ascii="宋体" w:hAnsi="宋体" w:eastAsia="宋体" w:cs="宋体"/>
              <w:bCs/>
              <w:kern w:val="36"/>
              <w:szCs w:val="36"/>
            </w:rPr>
            <w:fldChar w:fldCharType="end"/>
          </w:r>
        </w:p>
        <w:p w14:paraId="0B2FAC44">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_Toc29403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二</w:t>
          </w:r>
          <w:r>
            <w:rPr>
              <w:rFonts w:hint="eastAsia"/>
              <w:lang w:eastAsia="zh-CN"/>
            </w:rPr>
            <w:t>）对兼职教师的基本要求</w:t>
          </w:r>
          <w:r>
            <w:tab/>
          </w:r>
          <w:r>
            <w:fldChar w:fldCharType="begin"/>
          </w:r>
          <w:r>
            <w:instrText xml:space="preserve"> PAGEREF _Toc29403 \h </w:instrText>
          </w:r>
          <w:r>
            <w:fldChar w:fldCharType="separate"/>
          </w:r>
          <w:r>
            <w:t>13</w:t>
          </w:r>
          <w:r>
            <w:fldChar w:fldCharType="end"/>
          </w:r>
          <w:r>
            <w:rPr>
              <w:rFonts w:hint="eastAsia" w:ascii="宋体" w:hAnsi="宋体" w:eastAsia="宋体" w:cs="宋体"/>
              <w:bCs/>
              <w:kern w:val="36"/>
              <w:szCs w:val="36"/>
            </w:rPr>
            <w:fldChar w:fldCharType="end"/>
          </w:r>
        </w:p>
        <w:p w14:paraId="091745C9">
          <w:pPr>
            <w:pStyle w:val="11"/>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_Toc28766 </w:instrText>
          </w:r>
          <w:r>
            <w:rPr>
              <w:rFonts w:hint="eastAsia" w:ascii="宋体" w:hAnsi="宋体" w:eastAsia="宋体" w:cs="宋体"/>
              <w:bCs/>
              <w:kern w:val="36"/>
              <w:szCs w:val="36"/>
            </w:rPr>
            <w:fldChar w:fldCharType="separate"/>
          </w:r>
          <w:r>
            <w:rPr>
              <w:rFonts w:hint="eastAsia"/>
            </w:rPr>
            <w:t>十、其它说明</w:t>
          </w:r>
          <w:r>
            <w:tab/>
          </w:r>
          <w:r>
            <w:fldChar w:fldCharType="begin"/>
          </w:r>
          <w:r>
            <w:instrText xml:space="preserve"> PAGEREF _Toc28766 \h </w:instrText>
          </w:r>
          <w:r>
            <w:fldChar w:fldCharType="separate"/>
          </w:r>
          <w:r>
            <w:t>13</w:t>
          </w:r>
          <w:r>
            <w:fldChar w:fldCharType="end"/>
          </w:r>
          <w:r>
            <w:rPr>
              <w:rFonts w:hint="eastAsia" w:ascii="宋体" w:hAnsi="宋体" w:eastAsia="宋体" w:cs="宋体"/>
              <w:bCs/>
              <w:kern w:val="36"/>
              <w:szCs w:val="36"/>
            </w:rPr>
            <w:fldChar w:fldCharType="end"/>
          </w:r>
        </w:p>
        <w:p w14:paraId="64AD7DDB">
          <w:pPr>
            <w:snapToGrid w:val="0"/>
            <w:spacing w:line="520" w:lineRule="exact"/>
            <w:ind w:firstLine="560"/>
            <w:rPr>
              <w:rFonts w:ascii="宋体" w:hAnsi="宋体" w:cs="宋体"/>
              <w:b/>
              <w:bCs/>
              <w:kern w:val="36"/>
              <w:sz w:val="36"/>
              <w:szCs w:val="36"/>
            </w:rPr>
            <w:sectPr>
              <w:footerReference r:id="rId11" w:type="default"/>
              <w:pgSz w:w="11906" w:h="16838"/>
              <w:pgMar w:top="1440" w:right="1800" w:bottom="1440" w:left="1800" w:header="851" w:footer="992" w:gutter="0"/>
              <w:pgNumType w:start="1"/>
              <w:cols w:space="425" w:num="1"/>
              <w:docGrid w:type="lines" w:linePitch="312" w:charSpace="0"/>
            </w:sectPr>
          </w:pPr>
          <w:r>
            <w:rPr>
              <w:rFonts w:hint="eastAsia" w:ascii="宋体" w:hAnsi="宋体" w:eastAsia="宋体" w:cs="宋体"/>
              <w:bCs/>
              <w:kern w:val="36"/>
              <w:szCs w:val="36"/>
            </w:rPr>
            <w:fldChar w:fldCharType="end"/>
          </w:r>
        </w:p>
      </w:sdtContent>
    </w:sdt>
    <w:p w14:paraId="0C581331">
      <w:pPr>
        <w:pStyle w:val="2"/>
        <w:ind w:firstLine="653"/>
      </w:pPr>
      <w:bookmarkStart w:id="0" w:name="_Toc502337258"/>
      <w:bookmarkStart w:id="1" w:name="_Toc11713"/>
      <w:bookmarkStart w:id="2" w:name="_Toc10917"/>
      <w:bookmarkStart w:id="3" w:name="_Toc8847"/>
      <w:bookmarkStart w:id="4" w:name="_Toc2469"/>
      <w:bookmarkStart w:id="5" w:name="_Toc16819"/>
      <w:r>
        <w:rPr>
          <w:rFonts w:hint="eastAsia"/>
        </w:rPr>
        <w:t>一、课程</w:t>
      </w:r>
      <w:bookmarkEnd w:id="0"/>
      <w:r>
        <w:rPr>
          <w:rFonts w:hint="eastAsia"/>
        </w:rPr>
        <w:t>基本信息</w:t>
      </w:r>
      <w:bookmarkEnd w:id="1"/>
      <w:bookmarkEnd w:id="2"/>
    </w:p>
    <w:p w14:paraId="37636035">
      <w:pPr>
        <w:ind w:firstLine="0" w:firstLineChars="0"/>
        <w:jc w:val="center"/>
        <w:rPr>
          <w:rFonts w:ascii="仿宋_GB2312" w:hAnsi="仿宋_GB2312" w:cs="仿宋_GB2312"/>
          <w:b/>
          <w:bCs/>
          <w:sz w:val="24"/>
          <w:szCs w:val="21"/>
        </w:rPr>
      </w:pPr>
      <w:r>
        <w:rPr>
          <w:rFonts w:hint="eastAsia" w:ascii="仿宋_GB2312" w:hAnsi="仿宋_GB2312" w:cs="仿宋_GB2312"/>
          <w:b/>
          <w:bCs/>
          <w:sz w:val="24"/>
          <w:szCs w:val="21"/>
        </w:rPr>
        <w:t>表1. 课程基本信息表</w:t>
      </w:r>
    </w:p>
    <w:tbl>
      <w:tblPr>
        <w:tblStyle w:val="1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2450"/>
        <w:gridCol w:w="1615"/>
        <w:gridCol w:w="2506"/>
      </w:tblGrid>
      <w:tr w14:paraId="6C572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12" w:space="0"/>
              <w:left w:val="single" w:color="auto" w:sz="12" w:space="0"/>
              <w:bottom w:val="single" w:color="auto" w:sz="4" w:space="0"/>
              <w:right w:val="single" w:color="auto" w:sz="4" w:space="0"/>
            </w:tcBorders>
            <w:vAlign w:val="center"/>
          </w:tcPr>
          <w:p w14:paraId="7ABCB4C5">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课程名称</w:t>
            </w:r>
          </w:p>
        </w:tc>
        <w:tc>
          <w:tcPr>
            <w:tcW w:w="2450" w:type="dxa"/>
            <w:tcBorders>
              <w:top w:val="single" w:color="auto" w:sz="12" w:space="0"/>
              <w:left w:val="single" w:color="auto" w:sz="4" w:space="0"/>
              <w:bottom w:val="single" w:color="auto" w:sz="4" w:space="0"/>
              <w:right w:val="single" w:color="auto" w:sz="4" w:space="0"/>
            </w:tcBorders>
            <w:vAlign w:val="center"/>
          </w:tcPr>
          <w:p w14:paraId="4B0ECFAA">
            <w:pPr>
              <w:ind w:firstLine="0" w:firstLineChars="0"/>
              <w:jc w:val="center"/>
              <w:rPr>
                <w:rFonts w:hint="default" w:eastAsia="仿宋_GB2312"/>
                <w:sz w:val="24"/>
                <w:szCs w:val="21"/>
                <w:lang w:val="en-US" w:eastAsia="zh-CN"/>
              </w:rPr>
            </w:pPr>
            <w:r>
              <w:rPr>
                <w:rFonts w:hint="eastAsia"/>
                <w:sz w:val="24"/>
                <w:szCs w:val="21"/>
                <w:lang w:val="en-US" w:eastAsia="zh-CN"/>
              </w:rPr>
              <w:t>旅游政策与法规</w:t>
            </w:r>
          </w:p>
        </w:tc>
        <w:tc>
          <w:tcPr>
            <w:tcW w:w="1615" w:type="dxa"/>
            <w:tcBorders>
              <w:top w:val="single" w:color="auto" w:sz="12" w:space="0"/>
              <w:left w:val="single" w:color="auto" w:sz="4" w:space="0"/>
              <w:bottom w:val="single" w:color="auto" w:sz="4" w:space="0"/>
              <w:right w:val="single" w:color="auto" w:sz="4" w:space="0"/>
            </w:tcBorders>
            <w:vAlign w:val="center"/>
          </w:tcPr>
          <w:p w14:paraId="01BC4B19">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课程代码</w:t>
            </w:r>
          </w:p>
        </w:tc>
        <w:tc>
          <w:tcPr>
            <w:tcW w:w="2506" w:type="dxa"/>
            <w:tcBorders>
              <w:top w:val="single" w:color="auto" w:sz="12" w:space="0"/>
              <w:left w:val="single" w:color="auto" w:sz="4" w:space="0"/>
              <w:bottom w:val="single" w:color="auto" w:sz="4" w:space="0"/>
              <w:right w:val="single" w:color="auto" w:sz="12" w:space="0"/>
            </w:tcBorders>
            <w:vAlign w:val="center"/>
          </w:tcPr>
          <w:p w14:paraId="361760CE">
            <w:pPr>
              <w:ind w:firstLine="0" w:firstLineChars="0"/>
              <w:jc w:val="center"/>
              <w:rPr>
                <w:rFonts w:hint="default" w:eastAsia="仿宋_GB2312"/>
                <w:sz w:val="24"/>
                <w:szCs w:val="21"/>
                <w:lang w:val="en-US" w:eastAsia="zh-CN"/>
              </w:rPr>
            </w:pPr>
            <w:r>
              <w:rPr>
                <w:rFonts w:hint="eastAsia" w:ascii="仿宋" w:hAnsi="仿宋" w:eastAsia="仿宋" w:cs="仿宋"/>
                <w:i w:val="0"/>
                <w:iCs w:val="0"/>
                <w:color w:val="auto"/>
                <w:kern w:val="0"/>
                <w:sz w:val="24"/>
                <w:szCs w:val="24"/>
                <w:u w:val="none"/>
                <w:lang w:val="en-US" w:eastAsia="zh-CN" w:bidi="ar"/>
              </w:rPr>
              <w:t>10317</w:t>
            </w:r>
          </w:p>
        </w:tc>
      </w:tr>
      <w:tr w14:paraId="2B269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734A2AFB">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课程类别</w:t>
            </w:r>
          </w:p>
        </w:tc>
        <w:tc>
          <w:tcPr>
            <w:tcW w:w="2450" w:type="dxa"/>
            <w:tcBorders>
              <w:top w:val="single" w:color="auto" w:sz="4" w:space="0"/>
              <w:left w:val="single" w:color="auto" w:sz="4" w:space="0"/>
              <w:bottom w:val="single" w:color="auto" w:sz="4" w:space="0"/>
              <w:right w:val="single" w:color="auto" w:sz="4" w:space="0"/>
            </w:tcBorders>
            <w:vAlign w:val="center"/>
          </w:tcPr>
          <w:p w14:paraId="6AE2B202">
            <w:pPr>
              <w:ind w:firstLine="0" w:firstLineChars="0"/>
              <w:jc w:val="center"/>
              <w:rPr>
                <w:sz w:val="24"/>
                <w:szCs w:val="21"/>
              </w:rPr>
            </w:pPr>
            <w:r>
              <w:rPr>
                <w:rFonts w:hint="eastAsia"/>
                <w:sz w:val="24"/>
                <w:szCs w:val="21"/>
              </w:rPr>
              <w:t xml:space="preserve">□公共课  </w:t>
            </w: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sz w:val="24"/>
                <w:szCs w:val="21"/>
              </w:rPr>
              <w:fldChar w:fldCharType="end"/>
            </w:r>
            <w:r>
              <w:rPr>
                <w:rFonts w:hint="eastAsia"/>
                <w:sz w:val="24"/>
                <w:szCs w:val="21"/>
              </w:rPr>
              <w:t>专业课</w:t>
            </w:r>
          </w:p>
        </w:tc>
        <w:tc>
          <w:tcPr>
            <w:tcW w:w="1615" w:type="dxa"/>
            <w:tcBorders>
              <w:top w:val="single" w:color="auto" w:sz="4" w:space="0"/>
              <w:left w:val="single" w:color="auto" w:sz="4" w:space="0"/>
              <w:bottom w:val="single" w:color="auto" w:sz="4" w:space="0"/>
              <w:right w:val="single" w:color="auto" w:sz="4" w:space="0"/>
            </w:tcBorders>
            <w:vAlign w:val="center"/>
          </w:tcPr>
          <w:p w14:paraId="334C0E66">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课程性质</w:t>
            </w:r>
          </w:p>
        </w:tc>
        <w:tc>
          <w:tcPr>
            <w:tcW w:w="2506" w:type="dxa"/>
            <w:tcBorders>
              <w:top w:val="single" w:color="auto" w:sz="4" w:space="0"/>
              <w:left w:val="single" w:color="auto" w:sz="4" w:space="0"/>
              <w:bottom w:val="single" w:color="auto" w:sz="4" w:space="0"/>
              <w:right w:val="single" w:color="auto" w:sz="12" w:space="0"/>
            </w:tcBorders>
            <w:vAlign w:val="center"/>
          </w:tcPr>
          <w:p w14:paraId="0D719DB2">
            <w:pPr>
              <w:ind w:firstLine="0" w:firstLineChars="0"/>
              <w:jc w:val="left"/>
              <w:rPr>
                <w:sz w:val="24"/>
                <w:szCs w:val="21"/>
              </w:rPr>
            </w:pP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sz w:val="24"/>
                <w:szCs w:val="21"/>
              </w:rPr>
              <w:fldChar w:fldCharType="end"/>
            </w:r>
            <w:r>
              <w:rPr>
                <w:rFonts w:hint="eastAsia"/>
                <w:sz w:val="24"/>
                <w:szCs w:val="21"/>
              </w:rPr>
              <w:t>必修□限选□任选</w:t>
            </w:r>
          </w:p>
        </w:tc>
      </w:tr>
      <w:tr w14:paraId="111BF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12591FF7">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学   时</w:t>
            </w:r>
          </w:p>
        </w:tc>
        <w:tc>
          <w:tcPr>
            <w:tcW w:w="2450" w:type="dxa"/>
            <w:tcBorders>
              <w:top w:val="single" w:color="auto" w:sz="4" w:space="0"/>
              <w:left w:val="single" w:color="auto" w:sz="4" w:space="0"/>
              <w:bottom w:val="single" w:color="auto" w:sz="4" w:space="0"/>
              <w:right w:val="single" w:color="auto" w:sz="4" w:space="0"/>
            </w:tcBorders>
            <w:vAlign w:val="center"/>
          </w:tcPr>
          <w:p w14:paraId="73312F93">
            <w:pPr>
              <w:ind w:firstLine="0" w:firstLineChars="0"/>
              <w:jc w:val="center"/>
              <w:rPr>
                <w:rFonts w:hint="default" w:eastAsia="仿宋_GB2312"/>
                <w:sz w:val="24"/>
                <w:szCs w:val="21"/>
                <w:lang w:val="en-US" w:eastAsia="zh-CN"/>
              </w:rPr>
            </w:pPr>
            <w:r>
              <w:rPr>
                <w:rFonts w:hint="eastAsia"/>
                <w:sz w:val="24"/>
                <w:szCs w:val="21"/>
                <w:lang w:val="en-US" w:eastAsia="zh-CN"/>
              </w:rPr>
              <w:t>32</w:t>
            </w:r>
          </w:p>
        </w:tc>
        <w:tc>
          <w:tcPr>
            <w:tcW w:w="1615" w:type="dxa"/>
            <w:tcBorders>
              <w:top w:val="single" w:color="auto" w:sz="4" w:space="0"/>
              <w:left w:val="single" w:color="auto" w:sz="4" w:space="0"/>
              <w:bottom w:val="single" w:color="auto" w:sz="4" w:space="0"/>
              <w:right w:val="single" w:color="auto" w:sz="4" w:space="0"/>
            </w:tcBorders>
            <w:vAlign w:val="center"/>
          </w:tcPr>
          <w:p w14:paraId="32F6278C">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学   分</w:t>
            </w:r>
          </w:p>
        </w:tc>
        <w:tc>
          <w:tcPr>
            <w:tcW w:w="2506" w:type="dxa"/>
            <w:tcBorders>
              <w:top w:val="single" w:color="auto" w:sz="4" w:space="0"/>
              <w:left w:val="single" w:color="auto" w:sz="4" w:space="0"/>
              <w:bottom w:val="single" w:color="auto" w:sz="4" w:space="0"/>
              <w:right w:val="single" w:color="auto" w:sz="12" w:space="0"/>
            </w:tcBorders>
            <w:vAlign w:val="center"/>
          </w:tcPr>
          <w:p w14:paraId="42E9F53E">
            <w:pPr>
              <w:ind w:firstLine="0" w:firstLineChars="0"/>
              <w:jc w:val="center"/>
              <w:rPr>
                <w:rFonts w:hint="default" w:eastAsia="仿宋_GB2312"/>
                <w:sz w:val="24"/>
                <w:szCs w:val="21"/>
                <w:lang w:val="en-US" w:eastAsia="zh-CN"/>
              </w:rPr>
            </w:pPr>
            <w:r>
              <w:rPr>
                <w:rFonts w:hint="eastAsia"/>
                <w:sz w:val="24"/>
                <w:szCs w:val="21"/>
                <w:lang w:val="en-US" w:eastAsia="zh-CN"/>
              </w:rPr>
              <w:t>2</w:t>
            </w:r>
          </w:p>
        </w:tc>
      </w:tr>
      <w:tr w14:paraId="2BCA6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47B9F5D9">
            <w:pPr>
              <w:ind w:firstLine="0" w:firstLineChars="0"/>
              <w:rPr>
                <w:rFonts w:ascii="仿宋_GB2312" w:hAnsi="仿宋_GB2312" w:cs="仿宋_GB2312"/>
                <w:b/>
                <w:bCs/>
                <w:sz w:val="24"/>
                <w:szCs w:val="24"/>
              </w:rPr>
            </w:pPr>
            <w:r>
              <w:rPr>
                <w:rFonts w:hint="eastAsia" w:ascii="仿宋_GB2312" w:hAnsi="仿宋_GB2312" w:cs="仿宋_GB2312"/>
                <w:b/>
                <w:bCs/>
                <w:sz w:val="24"/>
                <w:szCs w:val="24"/>
              </w:rPr>
              <w:t>是否专业核心课</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21E05365">
            <w:pPr>
              <w:ind w:firstLine="0" w:firstLineChars="0"/>
              <w:jc w:val="center"/>
              <w:rPr>
                <w:sz w:val="24"/>
                <w:szCs w:val="21"/>
              </w:rPr>
            </w:pP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sz w:val="24"/>
                <w:szCs w:val="21"/>
              </w:rPr>
              <w:fldChar w:fldCharType="end"/>
            </w:r>
            <w:r>
              <w:rPr>
                <w:rFonts w:hint="eastAsia"/>
                <w:sz w:val="24"/>
                <w:szCs w:val="21"/>
              </w:rPr>
              <w:t xml:space="preserve">是             </w:t>
            </w:r>
            <w:r>
              <w:rPr>
                <w:rFonts w:hint="eastAsia"/>
                <w:sz w:val="24"/>
                <w:szCs w:val="21"/>
                <w:lang w:eastAsia="zh-CN"/>
              </w:rPr>
              <w:t>□</w:t>
            </w:r>
            <w:r>
              <w:rPr>
                <w:rFonts w:hint="eastAsia"/>
                <w:sz w:val="24"/>
                <w:szCs w:val="21"/>
              </w:rPr>
              <w:t>否</w:t>
            </w:r>
          </w:p>
        </w:tc>
      </w:tr>
      <w:tr w14:paraId="78E6A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72FC903A">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授课专业</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279AAD90">
            <w:pPr>
              <w:ind w:firstLine="0" w:firstLineChars="0"/>
              <w:jc w:val="center"/>
              <w:rPr>
                <w:rFonts w:hint="default" w:eastAsia="仿宋_GB2312"/>
                <w:sz w:val="24"/>
                <w:szCs w:val="21"/>
                <w:lang w:val="en-US" w:eastAsia="zh-CN"/>
              </w:rPr>
            </w:pPr>
            <w:r>
              <w:rPr>
                <w:rFonts w:hint="eastAsia"/>
                <w:sz w:val="24"/>
                <w:szCs w:val="21"/>
                <w:lang w:val="en-US" w:eastAsia="zh-CN"/>
              </w:rPr>
              <w:t>旅游管理专业</w:t>
            </w:r>
          </w:p>
        </w:tc>
      </w:tr>
      <w:tr w14:paraId="1ACBC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5F5D0E60">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前置课程</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0854DAB7">
            <w:pPr>
              <w:ind w:firstLine="0" w:firstLineChars="0"/>
              <w:jc w:val="center"/>
              <w:rPr>
                <w:rFonts w:hint="default" w:eastAsia="仿宋_GB2312"/>
                <w:sz w:val="24"/>
                <w:szCs w:val="21"/>
                <w:lang w:val="en-US" w:eastAsia="zh-CN"/>
              </w:rPr>
            </w:pPr>
            <w:r>
              <w:rPr>
                <w:rFonts w:hint="eastAsia"/>
                <w:sz w:val="24"/>
                <w:szCs w:val="21"/>
                <w:lang w:val="en-US" w:eastAsia="zh-CN"/>
              </w:rPr>
              <w:t>旅游概论、管理学基础、人力资源管理、旅游消费者行为、旅游经济学、旅游规划基础</w:t>
            </w:r>
          </w:p>
        </w:tc>
      </w:tr>
    </w:tbl>
    <w:p w14:paraId="0278DEA6">
      <w:pPr>
        <w:pStyle w:val="2"/>
        <w:numPr>
          <w:ilvl w:val="0"/>
          <w:numId w:val="1"/>
        </w:numPr>
        <w:ind w:firstLine="653"/>
      </w:pPr>
      <w:bookmarkStart w:id="6" w:name="_Toc20662"/>
      <w:bookmarkStart w:id="7" w:name="_Toc502337262"/>
      <w:bookmarkStart w:id="8" w:name="_Toc30964"/>
      <w:r>
        <w:rPr>
          <w:rFonts w:hint="eastAsia"/>
        </w:rPr>
        <w:t>课程任务</w:t>
      </w:r>
      <w:bookmarkEnd w:id="6"/>
    </w:p>
    <w:p w14:paraId="7402EAE7">
      <w:pPr>
        <w:ind w:firstLine="560"/>
        <w:rPr>
          <w:rFonts w:hint="eastAsia" w:ascii="Times New Roman" w:hAnsi="Times New Roman" w:cs="Times New Roman"/>
        </w:rPr>
      </w:pPr>
      <w:r>
        <w:rPr>
          <w:rFonts w:hint="eastAsia"/>
        </w:rPr>
        <w:t>《</w:t>
      </w:r>
      <w:r>
        <w:rPr>
          <w:rFonts w:hint="eastAsia"/>
          <w:lang w:val="en-US" w:eastAsia="zh-CN"/>
        </w:rPr>
        <w:t>旅游政策与法规</w:t>
      </w:r>
      <w:r>
        <w:rPr>
          <w:rFonts w:hint="eastAsia"/>
        </w:rPr>
        <w:t>》是</w:t>
      </w:r>
      <w:r>
        <w:rPr>
          <w:rFonts w:hint="eastAsia"/>
          <w:lang w:val="en-US" w:eastAsia="zh-CN"/>
        </w:rPr>
        <w:t>旅游管理</w:t>
      </w:r>
      <w:r>
        <w:rPr>
          <w:rFonts w:hint="eastAsia"/>
        </w:rPr>
        <w:t>专业的一门</w:t>
      </w:r>
      <w:r>
        <w:rPr>
          <w:rFonts w:hint="eastAsia"/>
          <w:lang w:val="en-US" w:eastAsia="zh-CN"/>
        </w:rPr>
        <w:t>专业核心</w:t>
      </w:r>
      <w:r>
        <w:rPr>
          <w:rFonts w:hint="eastAsia"/>
        </w:rPr>
        <w:t>课，本课程全面贯彻党的教育方针，落实立德树人根本任务，培养学生爱岗敬业、精益求精的工匠精神和创新意识。</w:t>
      </w:r>
      <w:r>
        <w:rPr>
          <w:rFonts w:hint="eastAsia" w:ascii="Times New Roman" w:hAnsi="Times New Roman" w:cs="Times New Roman"/>
        </w:rPr>
        <w:t>帮助学生系统掌握国家旅游发展战略与宏观政策体系，理解旅游行业准入标准、经营规范及服务质量要求，掌握旅游合同订立、纠纷处理、安全责任划分等法律实务技能，辨识文旅融合、生态保护、消费者权益保护等领域的政策导向，分析景区管理、导游执业、在线旅游等场景的合规要点，提升运用政策法规解决旅游企业运营实际问题的能力，培养依法经营、诚信服务的职业素养，为从事旅游管理、服务及相关行业奠定政策理解与合规操作的知识基础。为学生未来从事旅行社及相关旅游企业的运营管理工作打下坚实基础，使其能够有效应对旅游市场变化，解决实际运营中的复杂问题，为旅游行业的高质量发展贡献力量。</w:t>
      </w:r>
    </w:p>
    <w:p w14:paraId="69B99DAA">
      <w:pPr>
        <w:ind w:firstLine="560"/>
        <w:rPr>
          <w:rFonts w:hint="eastAsia" w:ascii="Times New Roman" w:hAnsi="Times New Roman" w:cs="Times New Roman"/>
        </w:rPr>
      </w:pPr>
      <w:r>
        <w:rPr>
          <w:rFonts w:hint="eastAsia"/>
        </w:rPr>
        <w:t>通过本课程教学</w:t>
      </w:r>
      <w:r>
        <w:rPr>
          <w:rFonts w:hint="eastAsia" w:ascii="Times New Roman" w:hAnsi="Times New Roman" w:cs="Times New Roman"/>
        </w:rPr>
        <w:t>，</w:t>
      </w:r>
      <w:r>
        <w:rPr>
          <w:rFonts w:hint="eastAsia" w:cs="Times New Roman"/>
          <w:lang w:val="en-US" w:eastAsia="zh-CN"/>
        </w:rPr>
        <w:t>能够培养学生</w:t>
      </w:r>
      <w:r>
        <w:rPr>
          <w:rFonts w:hint="eastAsia" w:ascii="Times New Roman" w:hAnsi="Times New Roman" w:cs="Times New Roman"/>
        </w:rPr>
        <w:t>较强的就业创业能力和可持续发展的能力，掌握本专业知识和技术技能，理解旅游行业准入标准、经营规范、服务质量要求及市场监管规则，掌握旅游合同订立、纠纷处理、安全责任划分、消费者权益保护等法律实务操作技能，辨识文旅融合、生态保护、乡村旅游等领域的政策导向，分析景区管理、导游执业、在线旅游平台运营等具体场景的合规要点，提升运用政策法规解决旅游企业运营中实际问题的能力，培养依法经营、规范服务的职业素养，为从事旅游管理、服务及相关行业筑牢政策理解与合规操作的知识基础。这些技能和能力将使学生在未来的职业生涯中能够更好地适应市场需求，</w:t>
      </w:r>
      <w:r>
        <w:rPr>
          <w:rFonts w:hint="eastAsia" w:cs="Times New Roman"/>
          <w:lang w:val="en-US" w:eastAsia="zh-CN"/>
        </w:rPr>
        <w:t>提升就业竞争力，促进自身职业发展</w:t>
      </w:r>
      <w:r>
        <w:rPr>
          <w:rFonts w:hint="eastAsia" w:ascii="Times New Roman" w:hAnsi="Times New Roman" w:cs="Times New Roman"/>
        </w:rPr>
        <w:t>。</w:t>
      </w:r>
    </w:p>
    <w:p w14:paraId="70796BBD">
      <w:pPr>
        <w:pStyle w:val="2"/>
        <w:ind w:firstLine="653"/>
      </w:pPr>
      <w:bookmarkStart w:id="9" w:name="_Toc32454"/>
      <w:r>
        <w:rPr>
          <w:rFonts w:hint="eastAsia"/>
        </w:rPr>
        <w:t>三、课程目标</w:t>
      </w:r>
      <w:bookmarkEnd w:id="7"/>
      <w:bookmarkEnd w:id="8"/>
      <w:bookmarkEnd w:id="9"/>
      <w:bookmarkStart w:id="10" w:name="_Toc502337263"/>
    </w:p>
    <w:p w14:paraId="24C45105">
      <w:pPr>
        <w:ind w:firstLine="560"/>
      </w:pPr>
      <w:r>
        <w:rPr>
          <w:rFonts w:hint="eastAsia"/>
        </w:rPr>
        <w:t>完成本课程学习后，学生应当具有以下素质、知识和能力：</w:t>
      </w:r>
    </w:p>
    <w:bookmarkEnd w:id="10"/>
    <w:p w14:paraId="79F205A8">
      <w:pPr>
        <w:pStyle w:val="3"/>
        <w:numPr>
          <w:ilvl w:val="0"/>
          <w:numId w:val="2"/>
        </w:numPr>
        <w:ind w:firstLine="560"/>
      </w:pPr>
      <w:bookmarkStart w:id="11" w:name="_Toc90472987"/>
      <w:bookmarkStart w:id="12" w:name="_Toc23227"/>
      <w:bookmarkStart w:id="13" w:name="_Toc7412"/>
      <w:r>
        <w:rPr>
          <w:rFonts w:hint="eastAsia"/>
        </w:rPr>
        <w:t>素质目标</w:t>
      </w:r>
      <w:bookmarkEnd w:id="11"/>
      <w:bookmarkEnd w:id="12"/>
      <w:bookmarkEnd w:id="13"/>
      <w:bookmarkStart w:id="14" w:name="_Toc90472988"/>
      <w:bookmarkStart w:id="15" w:name="_Toc502337264"/>
      <w:bookmarkStart w:id="16" w:name="_Toc24734"/>
    </w:p>
    <w:p w14:paraId="0289005F">
      <w:pPr>
        <w:numPr>
          <w:ilvl w:val="0"/>
          <w:numId w:val="3"/>
        </w:numPr>
        <w:bidi w:val="0"/>
        <w:ind w:firstLine="560" w:firstLineChars="200"/>
        <w:rPr>
          <w:rFonts w:hint="eastAsia"/>
        </w:rPr>
      </w:pPr>
      <w:r>
        <w:rPr>
          <w:rFonts w:hint="eastAsia"/>
          <w:lang w:val="en-US" w:eastAsia="zh-CN"/>
        </w:rPr>
        <w:t>依法经营与诚信服务意识培养</w:t>
      </w:r>
    </w:p>
    <w:p w14:paraId="66A88992">
      <w:pPr>
        <w:numPr>
          <w:ilvl w:val="0"/>
          <w:numId w:val="0"/>
        </w:numPr>
        <w:bidi w:val="0"/>
        <w:spacing w:line="240" w:lineRule="auto"/>
        <w:ind w:left="0" w:leftChars="0" w:firstLine="560" w:firstLineChars="200"/>
        <w:rPr>
          <w:rFonts w:hint="eastAsia" w:ascii="Times New Roman" w:hAnsi="Times New Roman" w:cs="Times New Roman"/>
        </w:rPr>
      </w:pPr>
      <w:r>
        <w:rPr>
          <w:rFonts w:hint="eastAsia" w:ascii="Times New Roman" w:hAnsi="Times New Roman" w:cs="Times New Roman"/>
        </w:rPr>
        <w:t>树立旅游行业依法经营的职业准则，强化合规执业的法律责任感，理解诚信服务在旅游服务中的核心价值，形成以法律为准绳的职业行为规范。；</w:t>
      </w:r>
    </w:p>
    <w:p w14:paraId="17C495D3">
      <w:pPr>
        <w:numPr>
          <w:ilvl w:val="0"/>
          <w:numId w:val="3"/>
        </w:numPr>
        <w:bidi w:val="0"/>
        <w:ind w:left="0" w:leftChars="0" w:firstLine="560" w:firstLineChars="200"/>
        <w:rPr>
          <w:rFonts w:hint="eastAsia"/>
        </w:rPr>
      </w:pPr>
      <w:r>
        <w:rPr>
          <w:rFonts w:hint="eastAsia"/>
        </w:rPr>
        <w:t>增强社会责任感</w:t>
      </w:r>
    </w:p>
    <w:p w14:paraId="04F45B5B">
      <w:pPr>
        <w:numPr>
          <w:ilvl w:val="0"/>
          <w:numId w:val="0"/>
        </w:numPr>
        <w:bidi w:val="0"/>
        <w:spacing w:line="240" w:lineRule="auto"/>
        <w:ind w:left="0" w:leftChars="0" w:firstLine="560" w:firstLineChars="200"/>
        <w:rPr>
          <w:rFonts w:hint="eastAsia"/>
        </w:rPr>
      </w:pPr>
      <w:r>
        <w:rPr>
          <w:rFonts w:hint="eastAsia" w:ascii="Times New Roman" w:hAnsi="Times New Roman" w:cs="Times New Roman"/>
        </w:rPr>
        <w:t>建立旅游产业与社会、生态、文化协同发展的认知，理解旅游政策中关于生态保护、文化传承、乡村振兴的导向，培养在企业运营中平衡经济效益与社会责任的思维</w:t>
      </w:r>
      <w:r>
        <w:rPr>
          <w:rFonts w:hint="eastAsia"/>
        </w:rPr>
        <w:t>；</w:t>
      </w:r>
    </w:p>
    <w:p w14:paraId="7A6B7FE2">
      <w:pPr>
        <w:numPr>
          <w:ilvl w:val="0"/>
          <w:numId w:val="3"/>
        </w:numPr>
        <w:bidi w:val="0"/>
        <w:ind w:left="0" w:leftChars="0" w:firstLine="560" w:firstLineChars="200"/>
        <w:rPr>
          <w:rFonts w:hint="eastAsia"/>
        </w:rPr>
      </w:pPr>
      <w:r>
        <w:rPr>
          <w:rFonts w:hint="eastAsia"/>
          <w:lang w:val="en-US" w:eastAsia="zh-CN"/>
        </w:rPr>
        <w:t>规则意识与风险防范意识提升</w:t>
      </w:r>
    </w:p>
    <w:p w14:paraId="3FE2F68C">
      <w:pPr>
        <w:numPr>
          <w:ilvl w:val="0"/>
          <w:numId w:val="0"/>
        </w:numPr>
        <w:bidi w:val="0"/>
        <w:spacing w:line="240" w:lineRule="auto"/>
        <w:ind w:left="0" w:leftChars="0" w:firstLine="560" w:firstLineChars="200"/>
        <w:rPr>
          <w:rFonts w:hint="eastAsia" w:ascii="Times New Roman" w:hAnsi="Times New Roman" w:cs="Times New Roman"/>
          <w:lang w:eastAsia="zh-CN"/>
        </w:rPr>
      </w:pPr>
      <w:r>
        <w:rPr>
          <w:rFonts w:hint="eastAsia" w:ascii="Times New Roman" w:hAnsi="Times New Roman" w:cs="Times New Roman"/>
        </w:rPr>
        <w:t>明确旅游业务各环节的法律边界，识别潜在法律风险，形成主动规避风险、维护行业秩序的职业习惯</w:t>
      </w:r>
      <w:r>
        <w:rPr>
          <w:rFonts w:hint="eastAsia" w:ascii="Times New Roman" w:hAnsi="Times New Roman" w:cs="Times New Roman"/>
          <w:lang w:eastAsia="zh-CN"/>
        </w:rPr>
        <w:t>。</w:t>
      </w:r>
    </w:p>
    <w:p w14:paraId="48446046">
      <w:pPr>
        <w:pStyle w:val="3"/>
        <w:numPr>
          <w:ilvl w:val="0"/>
          <w:numId w:val="2"/>
        </w:numPr>
        <w:ind w:firstLine="560"/>
      </w:pPr>
      <w:bookmarkStart w:id="17" w:name="_Toc21402"/>
      <w:r>
        <w:rPr>
          <w:rFonts w:hint="eastAsia"/>
        </w:rPr>
        <w:t>知识目标</w:t>
      </w:r>
      <w:bookmarkEnd w:id="14"/>
      <w:bookmarkEnd w:id="15"/>
      <w:bookmarkEnd w:id="16"/>
      <w:bookmarkEnd w:id="17"/>
      <w:bookmarkStart w:id="18" w:name="_Toc502337265"/>
    </w:p>
    <w:p w14:paraId="62970484">
      <w:pPr>
        <w:numPr>
          <w:ilvl w:val="0"/>
          <w:numId w:val="4"/>
        </w:numPr>
        <w:autoSpaceDE w:val="0"/>
        <w:autoSpaceDN w:val="0"/>
        <w:adjustRightInd w:val="0"/>
        <w:ind w:firstLine="560" w:firstLineChars="200"/>
        <w:rPr>
          <w:rFonts w:hint="eastAsia"/>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国家旅游政策体系认知</w:t>
      </w:r>
    </w:p>
    <w:p w14:paraId="173E4517">
      <w:pPr>
        <w:numPr>
          <w:ilvl w:val="0"/>
          <w:numId w:val="0"/>
        </w:numPr>
        <w:autoSpaceDE w:val="0"/>
        <w:autoSpaceDN w:val="0"/>
        <w:adjustRightInd w:val="0"/>
        <w:ind w:firstLine="560" w:firstLineChars="200"/>
        <w:rPr>
          <w:rFonts w:hint="eastAsia" w:ascii="Times New Roman" w:hAnsi="Times New Roman" w:cs="Times New Roman"/>
          <w:color w:val="000000" w:themeColor="text1"/>
          <w14:textFill>
            <w14:solidFill>
              <w14:schemeClr w14:val="tx1"/>
            </w14:solidFill>
          </w14:textFill>
        </w:rPr>
      </w:pPr>
      <w:r>
        <w:rPr>
          <w:rFonts w:hint="eastAsia" w:ascii="Times New Roman" w:hAnsi="Times New Roman" w:cs="Times New Roman"/>
          <w:color w:val="000000" w:themeColor="text1"/>
          <w14:textFill>
            <w14:solidFill>
              <w14:schemeClr w14:val="tx1"/>
            </w14:solidFill>
          </w14:textFill>
        </w:rPr>
        <w:t>掌握国家旅游发展战略，理解政策对行业发展方向、资源配置、区域协调的引导作用；</w:t>
      </w:r>
    </w:p>
    <w:p w14:paraId="4353CF47">
      <w:pPr>
        <w:numPr>
          <w:ilvl w:val="0"/>
          <w:numId w:val="4"/>
        </w:numPr>
        <w:autoSpaceDE w:val="0"/>
        <w:autoSpaceDN w:val="0"/>
        <w:adjustRightInd w:val="0"/>
        <w:ind w:left="0" w:leftChars="0" w:firstLine="560" w:firstLineChars="200"/>
        <w:rPr>
          <w:rFonts w:hint="eastAsia"/>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核心法律法规掌握</w:t>
      </w:r>
    </w:p>
    <w:p w14:paraId="68C0EFD3">
      <w:pPr>
        <w:numPr>
          <w:ilvl w:val="0"/>
          <w:numId w:val="0"/>
        </w:numPr>
        <w:autoSpaceDE w:val="0"/>
        <w:autoSpaceDN w:val="0"/>
        <w:adjustRightInd w:val="0"/>
        <w:ind w:firstLine="560" w:firstLineChars="200"/>
        <w:rPr>
          <w:rFonts w:hint="eastAsia" w:ascii="Times New Roman" w:hAnsi="Times New Roman" w:cs="Times New Roman"/>
          <w:color w:val="000000" w:themeColor="text1"/>
          <w14:textFill>
            <w14:solidFill>
              <w14:schemeClr w14:val="tx1"/>
            </w14:solidFill>
          </w14:textFill>
        </w:rPr>
      </w:pPr>
      <w:r>
        <w:rPr>
          <w:rFonts w:hint="eastAsia" w:ascii="Times New Roman" w:hAnsi="Times New Roman" w:cs="Times New Roman"/>
          <w:color w:val="000000" w:themeColor="text1"/>
          <w14:textFill>
            <w14:solidFill>
              <w14:schemeClr w14:val="tx1"/>
            </w14:solidFill>
          </w14:textFill>
        </w:rPr>
        <w:t>熟知《旅游法》《旅行社条例》《旅游安全管理办法》《消费者权益保护法》等法律法规的核心条款，明确其适用场景与约束对象；</w:t>
      </w:r>
    </w:p>
    <w:p w14:paraId="7C38D6DB">
      <w:pPr>
        <w:numPr>
          <w:ilvl w:val="0"/>
          <w:numId w:val="4"/>
        </w:numPr>
        <w:autoSpaceDE w:val="0"/>
        <w:autoSpaceDN w:val="0"/>
        <w:adjustRightInd w:val="0"/>
        <w:ind w:left="0" w:leftChars="0" w:firstLine="560" w:firstLineChars="200"/>
        <w:rPr>
          <w:rFonts w:hint="eastAsia"/>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行业准入标准与经营规范理解</w:t>
      </w:r>
    </w:p>
    <w:p w14:paraId="10BD05A3">
      <w:pPr>
        <w:numPr>
          <w:ilvl w:val="0"/>
          <w:numId w:val="0"/>
        </w:numPr>
        <w:autoSpaceDE w:val="0"/>
        <w:autoSpaceDN w:val="0"/>
        <w:adjustRightInd w:val="0"/>
        <w:ind w:firstLine="560" w:firstLineChars="200"/>
        <w:rPr>
          <w:rFonts w:hint="eastAsia" w:ascii="Times New Roman" w:hAnsi="Times New Roman" w:cs="Times New Roman"/>
          <w:color w:val="000000" w:themeColor="text1"/>
          <w14:textFill>
            <w14:solidFill>
              <w14:schemeClr w14:val="tx1"/>
            </w14:solidFill>
          </w14:textFill>
        </w:rPr>
      </w:pPr>
      <w:r>
        <w:rPr>
          <w:rFonts w:hint="eastAsia" w:ascii="Times New Roman" w:hAnsi="Times New Roman" w:cs="Times New Roman"/>
          <w:color w:val="000000" w:themeColor="text1"/>
          <w14:textFill>
            <w14:solidFill>
              <w14:schemeClr w14:val="tx1"/>
            </w14:solidFill>
          </w14:textFill>
        </w:rPr>
        <w:t>掌握旅游企业设立审批、从业人员资质要求、服务质量标准及市场监管规则。</w:t>
      </w:r>
    </w:p>
    <w:p w14:paraId="321C3F32">
      <w:pPr>
        <w:pStyle w:val="3"/>
        <w:numPr>
          <w:ilvl w:val="0"/>
          <w:numId w:val="2"/>
        </w:numPr>
        <w:ind w:firstLine="560"/>
      </w:pPr>
      <w:bookmarkStart w:id="19" w:name="_Toc17716"/>
      <w:bookmarkStart w:id="20" w:name="_Toc12623"/>
      <w:bookmarkStart w:id="21" w:name="_Toc90472989"/>
      <w:r>
        <w:rPr>
          <w:rFonts w:hint="eastAsia"/>
        </w:rPr>
        <w:t>能力目标</w:t>
      </w:r>
      <w:bookmarkEnd w:id="18"/>
      <w:bookmarkEnd w:id="19"/>
      <w:bookmarkEnd w:id="20"/>
      <w:bookmarkEnd w:id="21"/>
    </w:p>
    <w:p w14:paraId="2FD01A76">
      <w:pPr>
        <w:numPr>
          <w:ilvl w:val="0"/>
          <w:numId w:val="5"/>
        </w:numPr>
        <w:autoSpaceDE w:val="0"/>
        <w:autoSpaceDN w:val="0"/>
        <w:adjustRightInd w:val="0"/>
        <w:ind w:firstLine="560" w:firstLineChars="200"/>
        <w:rPr>
          <w:rFonts w:hint="eastAsia"/>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旅游业务合规分析能力</w:t>
      </w:r>
    </w:p>
    <w:p w14:paraId="4A22A800">
      <w:pPr>
        <w:numPr>
          <w:ilvl w:val="0"/>
          <w:numId w:val="0"/>
        </w:numPr>
        <w:autoSpaceDE w:val="0"/>
        <w:autoSpaceDN w:val="0"/>
        <w:adjustRightInd w:val="0"/>
        <w:ind w:firstLine="560" w:firstLineChars="200"/>
        <w:rPr>
          <w:rFonts w:hint="eastAsia" w:ascii="Times New Roman" w:hAnsi="Times New Roman" w:cs="Times New Roman"/>
          <w:color w:val="000000" w:themeColor="text1"/>
          <w14:textFill>
            <w14:solidFill>
              <w14:schemeClr w14:val="tx1"/>
            </w14:solidFill>
          </w14:textFill>
        </w:rPr>
      </w:pPr>
      <w:r>
        <w:rPr>
          <w:rFonts w:hint="eastAsia" w:ascii="Times New Roman" w:hAnsi="Times New Roman" w:cs="Times New Roman"/>
          <w:color w:val="000000" w:themeColor="text1"/>
          <w14:textFill>
            <w14:solidFill>
              <w14:schemeClr w14:val="tx1"/>
            </w14:solidFill>
          </w14:textFill>
        </w:rPr>
        <w:t>能运用政策法规分析旅游企业运营中的具体问题，提出合规经营建议；</w:t>
      </w:r>
    </w:p>
    <w:p w14:paraId="27A2247C">
      <w:pPr>
        <w:numPr>
          <w:ilvl w:val="0"/>
          <w:numId w:val="5"/>
        </w:numPr>
        <w:autoSpaceDE w:val="0"/>
        <w:autoSpaceDN w:val="0"/>
        <w:adjustRightInd w:val="0"/>
        <w:ind w:left="0" w:leftChars="0" w:firstLine="560" w:firstLineChars="200"/>
        <w:rPr>
          <w:rFonts w:hint="eastAsia"/>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旅游纠纷依法处理能力</w:t>
      </w:r>
    </w:p>
    <w:p w14:paraId="450964E2">
      <w:pPr>
        <w:numPr>
          <w:ilvl w:val="0"/>
          <w:numId w:val="0"/>
        </w:numPr>
        <w:autoSpaceDE w:val="0"/>
        <w:autoSpaceDN w:val="0"/>
        <w:adjustRightInd w:val="0"/>
        <w:ind w:firstLine="560" w:firstLineChars="200"/>
        <w:rPr>
          <w:rFonts w:hint="eastAsia" w:ascii="Times New Roman" w:hAnsi="Times New Roman" w:cs="Times New Roman"/>
          <w:color w:val="000000" w:themeColor="text1"/>
          <w14:textFill>
            <w14:solidFill>
              <w14:schemeClr w14:val="tx1"/>
            </w14:solidFill>
          </w14:textFill>
        </w:rPr>
      </w:pPr>
      <w:r>
        <w:rPr>
          <w:rFonts w:hint="eastAsia" w:ascii="Times New Roman" w:hAnsi="Times New Roman" w:cs="Times New Roman"/>
          <w:color w:val="000000" w:themeColor="text1"/>
          <w14:textFill>
            <w14:solidFill>
              <w14:schemeClr w14:val="tx1"/>
            </w14:solidFill>
          </w14:textFill>
        </w:rPr>
        <w:t>掌握旅游合同订立、变更、解除的法律程序，能处理游客投诉、违约赔偿、服务质量纠纷等实务问题，运用《旅游法》《消费者权益保护法》等进行调解与维权；</w:t>
      </w:r>
    </w:p>
    <w:p w14:paraId="686119D0">
      <w:pPr>
        <w:numPr>
          <w:ilvl w:val="0"/>
          <w:numId w:val="5"/>
        </w:numPr>
        <w:autoSpaceDE w:val="0"/>
        <w:autoSpaceDN w:val="0"/>
        <w:adjustRightInd w:val="0"/>
        <w:ind w:left="0" w:leftChars="0" w:firstLine="560" w:firstLineChars="200"/>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法律风险识别与防控能力</w:t>
      </w:r>
    </w:p>
    <w:p w14:paraId="7AB24737">
      <w:pPr>
        <w:numPr>
          <w:ilvl w:val="0"/>
          <w:numId w:val="0"/>
        </w:numPr>
        <w:autoSpaceDE w:val="0"/>
        <w:autoSpaceDN w:val="0"/>
        <w:adjustRightInd w:val="0"/>
        <w:ind w:firstLine="560" w:firstLineChars="200"/>
        <w:rPr>
          <w:rFonts w:hint="eastAsia" w:ascii="Times New Roman" w:hAnsi="Times New Roman" w:cs="Times New Roman"/>
          <w:color w:val="000000" w:themeColor="text1"/>
          <w14:textFill>
            <w14:solidFill>
              <w14:schemeClr w14:val="tx1"/>
            </w14:solidFill>
          </w14:textFill>
        </w:rPr>
      </w:pPr>
      <w:r>
        <w:rPr>
          <w:rFonts w:hint="eastAsia" w:ascii="Times New Roman" w:hAnsi="Times New Roman" w:cs="Times New Roman"/>
          <w:color w:val="000000" w:themeColor="text1"/>
          <w14:textFill>
            <w14:solidFill>
              <w14:schemeClr w14:val="tx1"/>
            </w14:solidFill>
          </w14:textFill>
        </w:rPr>
        <w:t>识别旅游产品设计、服务提供、安全管理等环节的法律风险点，制定风险防控措施。</w:t>
      </w:r>
    </w:p>
    <w:p w14:paraId="45BBEF9A">
      <w:pPr>
        <w:pStyle w:val="2"/>
        <w:ind w:firstLine="653"/>
      </w:pPr>
      <w:bookmarkStart w:id="22" w:name="_Toc5235"/>
      <w:bookmarkStart w:id="23" w:name="_Toc11296"/>
      <w:r>
        <w:rPr>
          <w:rFonts w:hint="eastAsia"/>
        </w:rPr>
        <w:t>四、课程职业能力分析</w:t>
      </w:r>
      <w:bookmarkEnd w:id="22"/>
      <w:bookmarkEnd w:id="23"/>
    </w:p>
    <w:p w14:paraId="51903F9A">
      <w:pPr>
        <w:widowControl/>
        <w:spacing w:before="156" w:beforeLines="50"/>
        <w:ind w:firstLine="0" w:firstLineChars="0"/>
        <w:jc w:val="center"/>
        <w:rPr>
          <w:rFonts w:ascii="仿宋_GB2312" w:hAnsi="仿宋_GB2312" w:cs="仿宋_GB2312"/>
          <w:b/>
          <w:color w:val="000000"/>
          <w:sz w:val="24"/>
          <w:szCs w:val="24"/>
          <w:highlight w:val="none"/>
        </w:rPr>
      </w:pPr>
      <w:r>
        <w:rPr>
          <w:rFonts w:hint="eastAsia" w:ascii="仿宋_GB2312" w:hAnsi="仿宋_GB2312" w:cs="仿宋_GB2312"/>
          <w:b/>
          <w:color w:val="000000"/>
          <w:sz w:val="24"/>
          <w:szCs w:val="24"/>
          <w:highlight w:val="none"/>
        </w:rPr>
        <w:t>表2. 课程职业能力分析表</w:t>
      </w:r>
    </w:p>
    <w:tbl>
      <w:tblPr>
        <w:tblStyle w:val="16"/>
        <w:tblW w:w="93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4"/>
        <w:gridCol w:w="1059"/>
        <w:gridCol w:w="1107"/>
        <w:gridCol w:w="4777"/>
        <w:gridCol w:w="1301"/>
      </w:tblGrid>
      <w:tr w14:paraId="1DB7A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jc w:val="center"/>
        </w:trPr>
        <w:tc>
          <w:tcPr>
            <w:tcW w:w="1154" w:type="dxa"/>
            <w:tcBorders>
              <w:top w:val="single" w:color="auto" w:sz="12" w:space="0"/>
              <w:left w:val="single" w:color="auto" w:sz="12" w:space="0"/>
              <w:bottom w:val="single" w:color="auto" w:sz="4" w:space="0"/>
              <w:right w:val="single" w:color="auto" w:sz="4" w:space="0"/>
            </w:tcBorders>
            <w:shd w:val="clear" w:color="auto" w:fill="auto"/>
            <w:vAlign w:val="center"/>
          </w:tcPr>
          <w:p w14:paraId="7DB6B07E">
            <w:pPr>
              <w:widowControl/>
              <w:spacing w:line="400" w:lineRule="exact"/>
              <w:ind w:firstLine="0" w:firstLineChars="0"/>
              <w:jc w:val="center"/>
              <w:rPr>
                <w:rFonts w:hint="eastAsia" w:ascii="黑体" w:hAnsi="黑体" w:eastAsia="黑体" w:cs="黑体"/>
                <w:b w:val="0"/>
                <w:bCs/>
                <w:color w:val="auto"/>
                <w:kern w:val="0"/>
                <w:sz w:val="24"/>
                <w:szCs w:val="24"/>
              </w:rPr>
            </w:pPr>
            <w:bookmarkStart w:id="24" w:name="_Toc30005"/>
            <w:bookmarkStart w:id="25" w:name="_Toc502337266"/>
            <w:r>
              <w:rPr>
                <w:rFonts w:hint="eastAsia" w:ascii="黑体" w:hAnsi="黑体" w:eastAsia="黑体" w:cs="黑体"/>
                <w:b w:val="0"/>
                <w:bCs/>
                <w:color w:val="auto"/>
                <w:kern w:val="0"/>
                <w:sz w:val="24"/>
                <w:szCs w:val="24"/>
              </w:rPr>
              <w:t>工作岗位</w:t>
            </w:r>
          </w:p>
        </w:tc>
        <w:tc>
          <w:tcPr>
            <w:tcW w:w="1059" w:type="dxa"/>
            <w:tcBorders>
              <w:top w:val="single" w:color="auto" w:sz="12" w:space="0"/>
              <w:left w:val="single" w:color="auto" w:sz="4" w:space="0"/>
              <w:bottom w:val="single" w:color="auto" w:sz="4" w:space="0"/>
              <w:right w:val="single" w:color="auto" w:sz="4" w:space="0"/>
            </w:tcBorders>
            <w:shd w:val="clear" w:color="auto" w:fill="auto"/>
            <w:vAlign w:val="center"/>
          </w:tcPr>
          <w:p w14:paraId="33FD554D">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工作任务</w:t>
            </w:r>
          </w:p>
        </w:tc>
        <w:tc>
          <w:tcPr>
            <w:tcW w:w="1107" w:type="dxa"/>
            <w:tcBorders>
              <w:top w:val="single" w:color="auto" w:sz="12" w:space="0"/>
              <w:left w:val="single" w:color="auto" w:sz="4" w:space="0"/>
              <w:bottom w:val="single" w:color="auto" w:sz="4" w:space="0"/>
              <w:right w:val="single" w:color="auto" w:sz="4" w:space="0"/>
            </w:tcBorders>
            <w:vAlign w:val="center"/>
          </w:tcPr>
          <w:p w14:paraId="2349EB7B">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工作内容</w:t>
            </w:r>
          </w:p>
        </w:tc>
        <w:tc>
          <w:tcPr>
            <w:tcW w:w="4777" w:type="dxa"/>
            <w:tcBorders>
              <w:top w:val="single" w:color="auto" w:sz="12" w:space="0"/>
              <w:left w:val="single" w:color="auto" w:sz="4" w:space="0"/>
              <w:bottom w:val="single" w:color="auto" w:sz="4" w:space="0"/>
              <w:right w:val="single" w:color="auto" w:sz="4" w:space="0"/>
            </w:tcBorders>
            <w:shd w:val="clear" w:color="auto" w:fill="auto"/>
            <w:vAlign w:val="center"/>
          </w:tcPr>
          <w:p w14:paraId="2F2D7572">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技能点</w:t>
            </w:r>
          </w:p>
        </w:tc>
        <w:tc>
          <w:tcPr>
            <w:tcW w:w="1301" w:type="dxa"/>
            <w:tcBorders>
              <w:top w:val="single" w:color="auto" w:sz="12" w:space="0"/>
              <w:left w:val="single" w:color="auto" w:sz="4" w:space="0"/>
              <w:bottom w:val="single" w:color="auto" w:sz="4" w:space="0"/>
              <w:right w:val="single" w:color="auto" w:sz="12" w:space="0"/>
            </w:tcBorders>
            <w:shd w:val="clear" w:color="auto" w:fill="auto"/>
            <w:vAlign w:val="center"/>
          </w:tcPr>
          <w:p w14:paraId="574BDC2C">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知识点</w:t>
            </w:r>
          </w:p>
        </w:tc>
      </w:tr>
      <w:tr w14:paraId="6D5F5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jc w:val="center"/>
        </w:trPr>
        <w:tc>
          <w:tcPr>
            <w:tcW w:w="1154" w:type="dxa"/>
            <w:tcBorders>
              <w:top w:val="single" w:color="auto" w:sz="4" w:space="0"/>
              <w:left w:val="single" w:color="auto" w:sz="12" w:space="0"/>
              <w:right w:val="single" w:color="auto" w:sz="4" w:space="0"/>
            </w:tcBorders>
            <w:shd w:val="clear" w:color="auto" w:fill="auto"/>
            <w:vAlign w:val="center"/>
          </w:tcPr>
          <w:p w14:paraId="52ACB8F9">
            <w:pPr>
              <w:ind w:firstLine="0" w:firstLineChars="0"/>
              <w:jc w:val="center"/>
              <w:rPr>
                <w:rFonts w:hint="default" w:ascii="仿宋" w:hAnsi="仿宋" w:eastAsia="仿宋"/>
                <w:bCs/>
                <w:color w:val="auto"/>
                <w:sz w:val="24"/>
                <w:szCs w:val="24"/>
                <w:highlight w:val="none"/>
                <w:lang w:val="en-US" w:eastAsia="zh-CN"/>
              </w:rPr>
            </w:pPr>
            <w:r>
              <w:rPr>
                <w:rFonts w:hint="eastAsia" w:ascii="仿宋" w:hAnsi="仿宋" w:eastAsia="仿宋" w:cs="仿宋"/>
                <w:color w:val="000000"/>
                <w:kern w:val="0"/>
                <w:sz w:val="24"/>
                <w:szCs w:val="24"/>
                <w:lang w:bidi="ar"/>
              </w:rPr>
              <w:t>旅游团队领队 （4-07-04-02）</w:t>
            </w:r>
          </w:p>
          <w:p w14:paraId="4DD9E6CF">
            <w:pPr>
              <w:ind w:firstLine="0" w:firstLineChars="0"/>
              <w:jc w:val="left"/>
              <w:rPr>
                <w:rFonts w:hint="default" w:ascii="仿宋" w:hAnsi="仿宋" w:eastAsia="仿宋"/>
                <w:bCs/>
                <w:color w:val="auto"/>
                <w:sz w:val="24"/>
                <w:szCs w:val="24"/>
                <w:highlight w:val="none"/>
                <w:lang w:val="en-US" w:eastAsia="zh-CN"/>
              </w:rPr>
            </w:pPr>
          </w:p>
        </w:tc>
        <w:tc>
          <w:tcPr>
            <w:tcW w:w="1059" w:type="dxa"/>
            <w:tcBorders>
              <w:top w:val="single" w:color="auto" w:sz="4" w:space="0"/>
              <w:left w:val="single" w:color="auto" w:sz="4" w:space="0"/>
              <w:right w:val="single" w:color="auto" w:sz="4" w:space="0"/>
            </w:tcBorders>
            <w:shd w:val="clear" w:color="auto" w:fill="auto"/>
            <w:vAlign w:val="center"/>
          </w:tcPr>
          <w:p w14:paraId="2C3395C6">
            <w:pPr>
              <w:pStyle w:val="34"/>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000000"/>
                <w:kern w:val="0"/>
                <w:sz w:val="24"/>
                <w:szCs w:val="24"/>
                <w:lang w:val="en-US" w:eastAsia="zh-CN" w:bidi="ar"/>
              </w:rPr>
              <w:t>1.</w:t>
            </w:r>
            <w:r>
              <w:rPr>
                <w:rFonts w:hint="eastAsia" w:ascii="仿宋" w:hAnsi="仿宋" w:eastAsia="仿宋" w:cs="仿宋"/>
                <w:color w:val="000000"/>
                <w:kern w:val="0"/>
                <w:sz w:val="24"/>
                <w:szCs w:val="24"/>
                <w:lang w:bidi="ar"/>
              </w:rPr>
              <w:t>预告行程安排</w:t>
            </w:r>
            <w:r>
              <w:rPr>
                <w:rFonts w:hint="eastAsia" w:ascii="仿宋" w:hAnsi="仿宋" w:eastAsia="仿宋" w:cs="仿宋"/>
                <w:color w:val="000000"/>
                <w:kern w:val="0"/>
                <w:sz w:val="24"/>
                <w:szCs w:val="24"/>
                <w:lang w:eastAsia="zh-CN" w:bidi="ar"/>
              </w:rPr>
              <w:t>，</w:t>
            </w:r>
            <w:r>
              <w:rPr>
                <w:rFonts w:hint="eastAsia" w:ascii="仿宋" w:hAnsi="仿宋" w:eastAsia="仿宋" w:cs="仿宋"/>
                <w:color w:val="000000"/>
                <w:kern w:val="0"/>
                <w:sz w:val="24"/>
                <w:szCs w:val="24"/>
                <w:lang w:bidi="ar"/>
              </w:rPr>
              <w:t xml:space="preserve"> 解说目的地国家</w:t>
            </w:r>
            <w:r>
              <w:rPr>
                <w:rFonts w:hint="eastAsia" w:ascii="仿宋" w:hAnsi="仿宋" w:eastAsia="仿宋" w:cs="仿宋"/>
                <w:color w:val="000000"/>
                <w:kern w:val="0"/>
                <w:sz w:val="24"/>
                <w:szCs w:val="24"/>
                <w:lang w:eastAsia="zh-CN" w:bidi="ar"/>
              </w:rPr>
              <w:t>（</w:t>
            </w:r>
            <w:r>
              <w:rPr>
                <w:rFonts w:hint="eastAsia" w:ascii="仿宋" w:hAnsi="仿宋" w:eastAsia="仿宋" w:cs="仿宋"/>
                <w:color w:val="000000"/>
                <w:kern w:val="0"/>
                <w:sz w:val="24"/>
                <w:szCs w:val="24"/>
                <w:lang w:bidi="ar"/>
              </w:rPr>
              <w:t>地区</w:t>
            </w:r>
            <w:r>
              <w:rPr>
                <w:rFonts w:hint="eastAsia" w:ascii="仿宋" w:hAnsi="仿宋" w:eastAsia="仿宋" w:cs="仿宋"/>
                <w:color w:val="000000"/>
                <w:kern w:val="0"/>
                <w:sz w:val="24"/>
                <w:szCs w:val="24"/>
                <w:lang w:eastAsia="zh-CN" w:bidi="ar"/>
              </w:rPr>
              <w:t>）</w:t>
            </w:r>
            <w:r>
              <w:rPr>
                <w:rFonts w:hint="eastAsia" w:ascii="仿宋" w:hAnsi="仿宋" w:eastAsia="仿宋" w:cs="仿宋"/>
                <w:color w:val="000000"/>
                <w:kern w:val="0"/>
                <w:sz w:val="24"/>
                <w:szCs w:val="24"/>
                <w:lang w:bidi="ar"/>
              </w:rPr>
              <w:t xml:space="preserve"> 旅游事项</w:t>
            </w:r>
            <w:r>
              <w:rPr>
                <w:rFonts w:hint="eastAsia" w:ascii="仿宋" w:hAnsi="仿宋" w:eastAsia="仿宋" w:cs="仿宋"/>
                <w:color w:val="000000"/>
                <w:kern w:val="0"/>
                <w:sz w:val="24"/>
                <w:szCs w:val="24"/>
                <w:lang w:eastAsia="zh-CN" w:bidi="ar"/>
              </w:rPr>
              <w:t>。</w:t>
            </w:r>
          </w:p>
        </w:tc>
        <w:tc>
          <w:tcPr>
            <w:tcW w:w="1107" w:type="dxa"/>
            <w:tcBorders>
              <w:top w:val="single" w:color="auto" w:sz="4" w:space="0"/>
              <w:left w:val="single" w:color="auto" w:sz="4" w:space="0"/>
              <w:right w:val="single" w:color="auto" w:sz="4" w:space="0"/>
            </w:tcBorders>
            <w:vAlign w:val="center"/>
          </w:tcPr>
          <w:p w14:paraId="0F7C21DD">
            <w:pPr>
              <w:pStyle w:val="34"/>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rPr>
              <w:t>1.</w:t>
            </w:r>
            <w:r>
              <w:rPr>
                <w:rFonts w:hint="eastAsia" w:ascii="仿宋" w:hAnsi="仿宋" w:eastAsia="仿宋" w:cs="仿宋"/>
                <w:color w:val="000000"/>
                <w:kern w:val="0"/>
                <w:sz w:val="24"/>
                <w:szCs w:val="24"/>
                <w:lang w:bidi="ar"/>
              </w:rPr>
              <w:t xml:space="preserve">全程陪同出境旅游者 </w:t>
            </w:r>
            <w:r>
              <w:rPr>
                <w:rFonts w:hint="eastAsia" w:ascii="仿宋" w:hAnsi="仿宋" w:eastAsia="仿宋" w:cs="仿宋"/>
                <w:color w:val="000000"/>
                <w:kern w:val="0"/>
                <w:sz w:val="24"/>
                <w:szCs w:val="24"/>
                <w:lang w:eastAsia="zh-CN" w:bidi="ar"/>
              </w:rPr>
              <w:t>（</w:t>
            </w:r>
            <w:r>
              <w:rPr>
                <w:rFonts w:hint="eastAsia" w:ascii="仿宋" w:hAnsi="仿宋" w:eastAsia="仿宋" w:cs="仿宋"/>
                <w:color w:val="000000"/>
                <w:kern w:val="0"/>
                <w:sz w:val="24"/>
                <w:szCs w:val="24"/>
                <w:lang w:bidi="ar"/>
              </w:rPr>
              <w:t>团队</w:t>
            </w:r>
            <w:r>
              <w:rPr>
                <w:rFonts w:hint="eastAsia" w:ascii="仿宋" w:hAnsi="仿宋" w:eastAsia="仿宋" w:cs="仿宋"/>
                <w:color w:val="000000"/>
                <w:kern w:val="0"/>
                <w:sz w:val="24"/>
                <w:szCs w:val="24"/>
                <w:lang w:eastAsia="zh-CN" w:bidi="ar"/>
              </w:rPr>
              <w:t>），</w:t>
            </w:r>
            <w:r>
              <w:rPr>
                <w:rFonts w:hint="eastAsia" w:ascii="仿宋" w:hAnsi="仿宋" w:eastAsia="仿宋" w:cs="仿宋"/>
                <w:color w:val="000000"/>
                <w:kern w:val="0"/>
                <w:sz w:val="24"/>
                <w:szCs w:val="24"/>
                <w:lang w:bidi="ar"/>
              </w:rPr>
              <w:t xml:space="preserve"> 维护旅游者合法权益</w:t>
            </w:r>
            <w:r>
              <w:rPr>
                <w:rFonts w:hint="eastAsia" w:ascii="仿宋" w:hAnsi="仿宋" w:eastAsia="仿宋" w:cs="仿宋"/>
                <w:color w:val="000000"/>
                <w:kern w:val="0"/>
                <w:sz w:val="24"/>
                <w:szCs w:val="24"/>
                <w:lang w:eastAsia="zh-CN" w:bidi="ar"/>
              </w:rPr>
              <w:t>。</w:t>
            </w:r>
          </w:p>
          <w:p w14:paraId="5DE41838">
            <w:pPr>
              <w:pStyle w:val="34"/>
              <w:spacing w:line="240" w:lineRule="auto"/>
              <w:ind w:firstLine="0" w:firstLineChars="0"/>
              <w:rPr>
                <w:rFonts w:hint="eastAsia" w:ascii="仿宋" w:hAnsi="仿宋" w:eastAsia="仿宋" w:cs="仿宋"/>
                <w:color w:val="auto"/>
                <w:sz w:val="24"/>
                <w:szCs w:val="24"/>
                <w:highlight w:val="none"/>
                <w:lang w:val="en-US" w:eastAsia="zh-CN"/>
              </w:rPr>
            </w:pPr>
          </w:p>
        </w:tc>
        <w:tc>
          <w:tcPr>
            <w:tcW w:w="4777" w:type="dxa"/>
            <w:tcBorders>
              <w:top w:val="single" w:color="auto" w:sz="4" w:space="0"/>
              <w:left w:val="single" w:color="auto" w:sz="4" w:space="0"/>
              <w:right w:val="single" w:color="auto" w:sz="4" w:space="0"/>
            </w:tcBorders>
            <w:shd w:val="clear" w:color="auto" w:fill="auto"/>
          </w:tcPr>
          <w:p w14:paraId="5C523635">
            <w:pPr>
              <w:pStyle w:val="34"/>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掌握旅游目的地的历史文化、自然景观等知识，能够提供生动、准确的讲解服务。具备良好的沟通能力和亲和力，能够与游客建立良好的关系，提升游客满意度。熟悉旅游行程安排，能够合理安排时间，确保游客顺利游览各个景点。具备应急处理能力，能够迅速应对旅途中的突发事件，保障游客安全。</w:t>
            </w:r>
          </w:p>
          <w:p w14:paraId="39A02C87">
            <w:pPr>
              <w:pStyle w:val="34"/>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了解旅游安全知识，能够及时提醒游客注意安全，预防意外事故的发生。具备团队管理能力，能够协调游客之间的关系，维护团队秩序。熟悉旅游交通、住宿、餐饮等服务环节，能够妥善安排游客的食宿行；</w:t>
            </w:r>
          </w:p>
          <w:p w14:paraId="3A5298A3">
            <w:pPr>
              <w:pStyle w:val="34"/>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掌握旅游市场的动态和需求，能够根据市场需求设计旅游接待计划。熟悉旅游行程安排和操作流程，能够确保旅游接待计划的顺利实施，并下发旅游团、导游；具备良好的组织协调能力，能够协调内部各部门之间的工作，确保团队高效运作，保障旅途顺利；</w:t>
            </w:r>
          </w:p>
          <w:p w14:paraId="719E6BED">
            <w:pPr>
              <w:pStyle w:val="34"/>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掌握市场营销的基本理论和方法，能够制定有效的营销策略和推广方案。具备良好的市场调研能力，能够准确把握市场需求和竞争态势。熟悉旅游产品特点和优势，能够根据产品特点制定针对性的营销方案。具备良好的沟通能力和销售技巧，能够与客户建立良好的关系，提升客户满意度和忠诚度。熟悉各种营销渠道和推广方式，能够有效利用线上线下资源进行产品推广。具备数据分析能力，能够通过分析销售数据和市场反馈，优化营销策略。具备团队合作精神，能够与团队成员密切配合，共同完成营销任务。熟悉旅游行业法律法规，能够确保营销活动合法合规；</w:t>
            </w:r>
          </w:p>
          <w:p w14:paraId="6DDEF4F1">
            <w:pPr>
              <w:pStyle w:val="34"/>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3.具备良好的执行能力，并具备团队意识、组织协调能力和沟通能力。</w:t>
            </w:r>
          </w:p>
          <w:p w14:paraId="089E48F2">
            <w:pPr>
              <w:pStyle w:val="34"/>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4.直播带货、短视频推广中的《互联网广告管理办法》应用</w:t>
            </w:r>
          </w:p>
          <w:p w14:paraId="3603E6D8">
            <w:pPr>
              <w:pStyle w:val="34"/>
              <w:spacing w:line="240" w:lineRule="auto"/>
              <w:ind w:firstLine="0" w:firstLineChars="0"/>
              <w:rPr>
                <w:rFonts w:hint="default" w:ascii="仿宋_GB2312" w:hAnsi="仿宋_GB2312" w:eastAsia="仿宋_GB2312" w:cs="仿宋_GB2312"/>
                <w:sz w:val="32"/>
                <w:szCs w:val="32"/>
                <w:lang w:val="en-US" w:eastAsia="zh-CN"/>
              </w:rPr>
            </w:pPr>
            <w:r>
              <w:rPr>
                <w:rFonts w:hint="eastAsia" w:ascii="仿宋" w:hAnsi="仿宋" w:eastAsia="仿宋" w:cs="仿宋"/>
                <w:color w:val="auto"/>
                <w:sz w:val="24"/>
                <w:szCs w:val="24"/>
                <w:highlight w:val="none"/>
                <w:lang w:val="en-US" w:eastAsia="zh-CN"/>
              </w:rPr>
              <w:t>5.数据安全风险防控：游客个人信息处理符合《个人信息保护法》要求</w:t>
            </w:r>
          </w:p>
        </w:tc>
        <w:tc>
          <w:tcPr>
            <w:tcW w:w="1301" w:type="dxa"/>
            <w:tcBorders>
              <w:top w:val="single" w:color="auto" w:sz="4" w:space="0"/>
              <w:left w:val="single" w:color="auto" w:sz="4" w:space="0"/>
              <w:bottom w:val="single" w:color="auto" w:sz="4" w:space="0"/>
              <w:right w:val="single" w:color="auto" w:sz="12" w:space="0"/>
            </w:tcBorders>
            <w:shd w:val="clear" w:color="auto" w:fill="auto"/>
            <w:vAlign w:val="center"/>
          </w:tcPr>
          <w:p w14:paraId="3FE73E2E">
            <w:pPr>
              <w:pStyle w:val="34"/>
              <w:spacing w:line="240" w:lineRule="auto"/>
              <w:ind w:firstLine="0" w:firstLineChars="0"/>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掌握旅游出行必备知识点；掌握旅行社企业一线岗位基础知识；掌握线上、线下旅游产品及旅游活动策划相关内容；掌握旅游资源特点；掌握旅游产品交易知识。</w:t>
            </w:r>
          </w:p>
        </w:tc>
      </w:tr>
    </w:tbl>
    <w:p w14:paraId="5AB0DE03">
      <w:pPr>
        <w:pStyle w:val="2"/>
        <w:ind w:firstLine="560"/>
      </w:pPr>
      <w:bookmarkStart w:id="26" w:name="_Toc20607"/>
      <w:r>
        <w:rPr>
          <w:rFonts w:hint="eastAsia"/>
        </w:rPr>
        <w:t>五、课程设计思路</w:t>
      </w:r>
      <w:bookmarkEnd w:id="24"/>
      <w:bookmarkEnd w:id="26"/>
    </w:p>
    <w:bookmarkEnd w:id="25"/>
    <w:p w14:paraId="72C12FE1">
      <w:pPr>
        <w:pStyle w:val="3"/>
        <w:bidi w:val="0"/>
        <w:rPr>
          <w:rFonts w:hint="eastAsia"/>
        </w:rPr>
      </w:pPr>
      <w:bookmarkStart w:id="27" w:name="_Toc7471"/>
      <w:bookmarkStart w:id="28" w:name="_Toc11466"/>
      <w:r>
        <w:rPr>
          <w:rFonts w:hint="eastAsia"/>
          <w:lang w:eastAsia="zh-CN"/>
        </w:rPr>
        <w:t>（</w:t>
      </w:r>
      <w:r>
        <w:rPr>
          <w:rFonts w:hint="eastAsia"/>
          <w:lang w:val="en-US" w:eastAsia="zh-CN"/>
        </w:rPr>
        <w:t>一</w:t>
      </w:r>
      <w:r>
        <w:rPr>
          <w:rFonts w:hint="eastAsia"/>
          <w:lang w:eastAsia="zh-CN"/>
        </w:rPr>
        <w:t>）</w:t>
      </w:r>
      <w:r>
        <w:rPr>
          <w:rFonts w:hint="eastAsia"/>
        </w:rPr>
        <w:t>教学路径</w:t>
      </w:r>
      <w:bookmarkEnd w:id="27"/>
    </w:p>
    <w:p w14:paraId="681F0A9E">
      <w:pPr>
        <w:bidi w:val="0"/>
        <w:rPr>
          <w:rFonts w:hint="eastAsia"/>
        </w:rPr>
      </w:pPr>
      <w:r>
        <w:rPr>
          <w:rFonts w:hint="eastAsia"/>
          <w:lang w:val="en-US" w:eastAsia="zh-CN"/>
        </w:rPr>
        <w:t>1.</w:t>
      </w:r>
      <w:r>
        <w:rPr>
          <w:rFonts w:hint="eastAsia"/>
        </w:rPr>
        <w:t>课程设计理念</w:t>
      </w:r>
    </w:p>
    <w:p w14:paraId="2E5E4697">
      <w:pPr>
        <w:bidi w:val="0"/>
        <w:rPr>
          <w:rFonts w:hint="eastAsia"/>
        </w:rPr>
      </w:pPr>
      <w:r>
        <w:rPr>
          <w:rFonts w:hint="eastAsia"/>
        </w:rPr>
        <w:t>以学生为中心，注重理论与实践相结合，通过</w:t>
      </w:r>
      <w:r>
        <w:rPr>
          <w:rFonts w:hint="eastAsia"/>
          <w:lang w:val="en-US" w:eastAsia="zh-CN"/>
        </w:rPr>
        <w:t>典型</w:t>
      </w:r>
      <w:r>
        <w:rPr>
          <w:rFonts w:hint="eastAsia"/>
        </w:rPr>
        <w:t>案例分析、</w:t>
      </w:r>
      <w:r>
        <w:rPr>
          <w:rFonts w:hint="eastAsia"/>
          <w:lang w:val="en-US" w:eastAsia="zh-CN"/>
        </w:rPr>
        <w:t>场景模拟</w:t>
      </w:r>
      <w:r>
        <w:rPr>
          <w:rFonts w:hint="eastAsia"/>
        </w:rPr>
        <w:t>、</w:t>
      </w:r>
      <w:r>
        <w:rPr>
          <w:rFonts w:hint="eastAsia"/>
          <w:lang w:val="en-US" w:eastAsia="zh-CN"/>
        </w:rPr>
        <w:t>团队协作</w:t>
      </w:r>
      <w:r>
        <w:rPr>
          <w:rFonts w:hint="eastAsia"/>
        </w:rPr>
        <w:t>等多种教学方法，培养学生的实践能力和创新思维。</w:t>
      </w:r>
    </w:p>
    <w:p w14:paraId="3295EAB0">
      <w:pPr>
        <w:bidi w:val="0"/>
        <w:rPr>
          <w:rFonts w:hint="eastAsia"/>
        </w:rPr>
      </w:pPr>
      <w:r>
        <w:rPr>
          <w:rFonts w:hint="eastAsia"/>
        </w:rPr>
        <w:t>教师在</w:t>
      </w:r>
      <w:r>
        <w:rPr>
          <w:rFonts w:hint="eastAsia"/>
          <w:lang w:val="en-US" w:eastAsia="zh-CN"/>
        </w:rPr>
        <w:t>学习</w:t>
      </w:r>
      <w:r>
        <w:rPr>
          <w:rFonts w:hint="eastAsia"/>
        </w:rPr>
        <w:t>探索过程中，应转变角色，成为学习的引导者和情境的创设者，帮助学生尝试解决问题的知识和方法，充分发挥学生的主体性和能动性。</w:t>
      </w:r>
    </w:p>
    <w:p w14:paraId="4AE361CE">
      <w:pPr>
        <w:bidi w:val="0"/>
        <w:rPr>
          <w:rFonts w:hint="eastAsia"/>
        </w:rPr>
      </w:pPr>
      <w:r>
        <w:rPr>
          <w:rFonts w:hint="eastAsia"/>
          <w:lang w:val="en-US" w:eastAsia="zh-CN"/>
        </w:rPr>
        <w:t>2.</w:t>
      </w:r>
      <w:r>
        <w:rPr>
          <w:rFonts w:hint="eastAsia"/>
        </w:rPr>
        <w:t>课程内容安排</w:t>
      </w:r>
    </w:p>
    <w:p w14:paraId="37192EC2">
      <w:pPr>
        <w:bidi w:val="0"/>
        <w:rPr>
          <w:rFonts w:hint="eastAsia" w:ascii="Times New Roman" w:hAnsi="Times New Roman" w:cs="Times New Roman"/>
        </w:rPr>
      </w:pPr>
      <w:r>
        <w:rPr>
          <w:rFonts w:hint="eastAsia" w:ascii="Times New Roman" w:hAnsi="Times New Roman" w:cs="Times New Roman"/>
        </w:rPr>
        <w:t>课程内容涵盖旅游政策基础理论与宏观体系、核心法律法规条文。前者讲解旅游政策功能、国家发展战略及其对行业的影响；后者聚焦《旅游法》《旅行社条例》等核心法规，解析旅游经营规范、消费者权益保护、安全责任划分、出入境管理等条文，并结合低价游纠纷、景区安全事故等案例进行研讨，旨在培养学生运用政策法规分析和解决旅游行业实际问题的能力 。</w:t>
      </w:r>
    </w:p>
    <w:p w14:paraId="527EFA8C">
      <w:pPr>
        <w:bidi w:val="0"/>
        <w:rPr>
          <w:rFonts w:hint="eastAsia"/>
          <w:lang w:val="en-US" w:eastAsia="zh-CN"/>
        </w:rPr>
      </w:pPr>
      <w:r>
        <w:rPr>
          <w:rFonts w:hint="eastAsia"/>
        </w:rPr>
        <w:t>教学内容贴近专业需求，</w:t>
      </w:r>
      <w:r>
        <w:rPr>
          <w:rFonts w:hint="eastAsia"/>
          <w:lang w:val="en-US" w:eastAsia="zh-CN"/>
        </w:rPr>
        <w:t>实践为主，理论为辅</w:t>
      </w:r>
      <w:r>
        <w:rPr>
          <w:rFonts w:hint="eastAsia"/>
        </w:rPr>
        <w:t>，用</w:t>
      </w:r>
      <w:r>
        <w:rPr>
          <w:rFonts w:hint="eastAsia"/>
          <w:lang w:val="en-US" w:eastAsia="zh-CN"/>
        </w:rPr>
        <w:t>真实</w:t>
      </w:r>
      <w:r>
        <w:rPr>
          <w:rFonts w:hint="eastAsia"/>
        </w:rPr>
        <w:t>案例说明问题，着重介绍与专业学习及日常</w:t>
      </w:r>
      <w:r>
        <w:rPr>
          <w:rFonts w:hint="eastAsia"/>
          <w:lang w:val="en-US" w:eastAsia="zh-CN"/>
        </w:rPr>
        <w:t>旅游</w:t>
      </w:r>
      <w:r>
        <w:rPr>
          <w:rFonts w:hint="eastAsia"/>
        </w:rPr>
        <w:t>生活联系密切的</w:t>
      </w:r>
      <w:r>
        <w:rPr>
          <w:rFonts w:hint="eastAsia"/>
          <w:lang w:val="en-US" w:eastAsia="zh-CN"/>
        </w:rPr>
        <w:t>经营管理问题。</w:t>
      </w:r>
    </w:p>
    <w:p w14:paraId="7F4E9470">
      <w:pPr>
        <w:bidi w:val="0"/>
        <w:rPr>
          <w:rFonts w:hint="eastAsia"/>
        </w:rPr>
      </w:pPr>
      <w:r>
        <w:rPr>
          <w:rFonts w:hint="eastAsia"/>
          <w:lang w:val="en-US" w:eastAsia="zh-CN"/>
        </w:rPr>
        <w:t>3.</w:t>
      </w:r>
      <w:r>
        <w:rPr>
          <w:rFonts w:hint="eastAsia"/>
        </w:rPr>
        <w:t>教学方法</w:t>
      </w:r>
    </w:p>
    <w:p w14:paraId="0E3D7DCA">
      <w:pPr>
        <w:bidi w:val="0"/>
        <w:rPr>
          <w:rFonts w:hint="eastAsia"/>
        </w:rPr>
      </w:pPr>
      <w:r>
        <w:rPr>
          <w:rFonts w:hint="eastAsia"/>
        </w:rPr>
        <w:t>采用讲授法、讨论法、案例分析法、项目实践法等多种教学方法，激发学生的学习兴趣，提高学生的主动性和参与度。</w:t>
      </w:r>
    </w:p>
    <w:p w14:paraId="0BAF3EA9">
      <w:pPr>
        <w:bidi w:val="0"/>
        <w:rPr>
          <w:rFonts w:hint="eastAsia"/>
        </w:rPr>
      </w:pPr>
      <w:r>
        <w:rPr>
          <w:rFonts w:hint="eastAsia"/>
        </w:rPr>
        <w:t>结合现实生活案例，使理论联系实际，提高学生</w:t>
      </w:r>
      <w:r>
        <w:rPr>
          <w:rFonts w:hint="eastAsia"/>
          <w:lang w:val="en-US" w:eastAsia="zh-CN"/>
        </w:rPr>
        <w:t>对本门课程的兴趣度和掌握力</w:t>
      </w:r>
      <w:r>
        <w:rPr>
          <w:rFonts w:hint="eastAsia"/>
        </w:rPr>
        <w:t>。</w:t>
      </w:r>
    </w:p>
    <w:p w14:paraId="3B7808AC">
      <w:pPr>
        <w:bidi w:val="0"/>
        <w:rPr>
          <w:rFonts w:hint="eastAsia"/>
        </w:rPr>
      </w:pPr>
      <w:r>
        <w:rPr>
          <w:rFonts w:hint="eastAsia"/>
          <w:lang w:val="en-US" w:eastAsia="zh-CN"/>
        </w:rPr>
        <w:t>4.</w:t>
      </w:r>
      <w:r>
        <w:rPr>
          <w:rFonts w:hint="eastAsia"/>
        </w:rPr>
        <w:t>教学进度</w:t>
      </w:r>
    </w:p>
    <w:p w14:paraId="1929E59E">
      <w:pPr>
        <w:bidi w:val="0"/>
        <w:rPr>
          <w:rFonts w:hint="eastAsia"/>
        </w:rPr>
      </w:pPr>
      <w:r>
        <w:rPr>
          <w:rFonts w:hint="eastAsia"/>
        </w:rPr>
        <w:t>课程通常按照教材章节顺序进行教学，每周安排一定的课时，确保学生有规律的学习时间。</w:t>
      </w:r>
    </w:p>
    <w:p w14:paraId="1696E1C2">
      <w:pPr>
        <w:bidi w:val="0"/>
        <w:rPr>
          <w:rFonts w:hint="eastAsia"/>
        </w:rPr>
      </w:pPr>
      <w:r>
        <w:rPr>
          <w:rFonts w:hint="eastAsia"/>
        </w:rPr>
        <w:t>在教学过程中，</w:t>
      </w:r>
      <w:r>
        <w:rPr>
          <w:rFonts w:hint="eastAsia"/>
          <w:lang w:val="en-US" w:eastAsia="zh-CN"/>
        </w:rPr>
        <w:t>注重理实搭配</w:t>
      </w:r>
      <w:r>
        <w:rPr>
          <w:rFonts w:hint="eastAsia"/>
        </w:rPr>
        <w:t>，确保理论与实践相结合。</w:t>
      </w:r>
    </w:p>
    <w:p w14:paraId="27EB13A1">
      <w:pPr>
        <w:pStyle w:val="3"/>
        <w:bidi w:val="0"/>
        <w:rPr>
          <w:rFonts w:hint="eastAsia"/>
        </w:rPr>
      </w:pPr>
      <w:bookmarkStart w:id="29" w:name="_Toc31255"/>
      <w:r>
        <w:rPr>
          <w:rFonts w:hint="eastAsia"/>
          <w:lang w:eastAsia="zh-CN"/>
        </w:rPr>
        <w:t>（</w:t>
      </w:r>
      <w:r>
        <w:rPr>
          <w:rFonts w:hint="eastAsia"/>
          <w:lang w:val="en-US" w:eastAsia="zh-CN"/>
        </w:rPr>
        <w:t>二</w:t>
      </w:r>
      <w:r>
        <w:rPr>
          <w:rFonts w:hint="eastAsia"/>
          <w:lang w:eastAsia="zh-CN"/>
        </w:rPr>
        <w:t>）</w:t>
      </w:r>
      <w:r>
        <w:rPr>
          <w:rFonts w:hint="eastAsia"/>
        </w:rPr>
        <w:t>教学评价</w:t>
      </w:r>
      <w:bookmarkEnd w:id="29"/>
    </w:p>
    <w:p w14:paraId="1B5A761E">
      <w:pPr>
        <w:bidi w:val="0"/>
        <w:rPr>
          <w:rFonts w:hint="eastAsia"/>
        </w:rPr>
      </w:pPr>
      <w:r>
        <w:rPr>
          <w:rFonts w:hint="eastAsia"/>
          <w:lang w:val="en-US" w:eastAsia="zh-CN"/>
        </w:rPr>
        <w:t>1.</w:t>
      </w:r>
      <w:r>
        <w:rPr>
          <w:rFonts w:hint="eastAsia"/>
        </w:rPr>
        <w:t>评价方式</w:t>
      </w:r>
    </w:p>
    <w:p w14:paraId="2BF13D9A">
      <w:pPr>
        <w:bidi w:val="0"/>
        <w:rPr>
          <w:rFonts w:hint="eastAsia"/>
        </w:rPr>
      </w:pPr>
      <w:r>
        <w:rPr>
          <w:rFonts w:hint="eastAsia"/>
        </w:rPr>
        <w:t>采用平时表现、</w:t>
      </w:r>
      <w:r>
        <w:rPr>
          <w:rFonts w:hint="eastAsia"/>
          <w:lang w:val="en-US" w:eastAsia="zh-CN"/>
        </w:rPr>
        <w:t>实践任务完成度</w:t>
      </w:r>
      <w:r>
        <w:rPr>
          <w:rFonts w:hint="eastAsia"/>
        </w:rPr>
        <w:t>、考试等多种评价方式，确保评价的客观性和全面性。</w:t>
      </w:r>
    </w:p>
    <w:p w14:paraId="0CF7C917">
      <w:pPr>
        <w:bidi w:val="0"/>
        <w:rPr>
          <w:rFonts w:hint="eastAsia"/>
        </w:rPr>
      </w:pPr>
      <w:r>
        <w:rPr>
          <w:rFonts w:hint="eastAsia"/>
        </w:rPr>
        <w:t>平时表现包括课堂出勤、课堂参与度、小组讨论表现等；作业包括</w:t>
      </w:r>
      <w:r>
        <w:rPr>
          <w:rFonts w:hint="eastAsia"/>
          <w:lang w:val="en-US" w:eastAsia="zh-CN"/>
        </w:rPr>
        <w:t>平台</w:t>
      </w:r>
      <w:r>
        <w:rPr>
          <w:rFonts w:hint="eastAsia"/>
        </w:rPr>
        <w:t>作业、实践报告等；考试包括期中考试和期末考试。</w:t>
      </w:r>
    </w:p>
    <w:p w14:paraId="35ED1B09">
      <w:pPr>
        <w:bidi w:val="0"/>
        <w:rPr>
          <w:rFonts w:hint="eastAsia"/>
        </w:rPr>
      </w:pPr>
      <w:r>
        <w:rPr>
          <w:rFonts w:hint="eastAsia"/>
          <w:lang w:val="en-US" w:eastAsia="zh-CN"/>
        </w:rPr>
        <w:t>2.</w:t>
      </w:r>
      <w:r>
        <w:rPr>
          <w:rFonts w:hint="eastAsia"/>
        </w:rPr>
        <w:t>评价反馈</w:t>
      </w:r>
    </w:p>
    <w:p w14:paraId="02862B31">
      <w:pPr>
        <w:bidi w:val="0"/>
        <w:rPr>
          <w:rFonts w:hint="eastAsia"/>
        </w:rPr>
      </w:pPr>
      <w:r>
        <w:rPr>
          <w:rFonts w:hint="eastAsia"/>
        </w:rPr>
        <w:t>评估标准要明确、公正，确保评估的客观性和有效性。</w:t>
      </w:r>
    </w:p>
    <w:p w14:paraId="35204749">
      <w:pPr>
        <w:bidi w:val="0"/>
        <w:rPr>
          <w:rFonts w:hint="eastAsia"/>
        </w:rPr>
      </w:pPr>
      <w:r>
        <w:rPr>
          <w:rFonts w:hint="eastAsia"/>
        </w:rPr>
        <w:t>评估结果要及时反馈给学生，以便他们了解自己的学习状况，调整学习方法和策略。</w:t>
      </w:r>
    </w:p>
    <w:p w14:paraId="2DEB3EC2">
      <w:pPr>
        <w:pStyle w:val="3"/>
        <w:bidi w:val="0"/>
        <w:rPr>
          <w:rFonts w:hint="eastAsia"/>
        </w:rPr>
      </w:pPr>
      <w:bookmarkStart w:id="30" w:name="_Toc2599"/>
      <w:r>
        <w:rPr>
          <w:rFonts w:hint="eastAsia"/>
          <w:lang w:eastAsia="zh-CN"/>
        </w:rPr>
        <w:t>（</w:t>
      </w:r>
      <w:r>
        <w:rPr>
          <w:rFonts w:hint="eastAsia"/>
          <w:lang w:val="en-US" w:eastAsia="zh-CN"/>
        </w:rPr>
        <w:t>三</w:t>
      </w:r>
      <w:r>
        <w:rPr>
          <w:rFonts w:hint="eastAsia"/>
          <w:lang w:eastAsia="zh-CN"/>
        </w:rPr>
        <w:t>）</w:t>
      </w:r>
      <w:r>
        <w:rPr>
          <w:rFonts w:hint="eastAsia"/>
        </w:rPr>
        <w:t>课程思政</w:t>
      </w:r>
      <w:bookmarkEnd w:id="30"/>
    </w:p>
    <w:p w14:paraId="2BC111EB">
      <w:pPr>
        <w:bidi w:val="0"/>
        <w:rPr>
          <w:rFonts w:hint="eastAsia"/>
        </w:rPr>
      </w:pPr>
      <w:r>
        <w:rPr>
          <w:rFonts w:hint="eastAsia"/>
          <w:lang w:val="en-US" w:eastAsia="zh-CN"/>
        </w:rPr>
        <w:t>1.</w:t>
      </w:r>
      <w:r>
        <w:rPr>
          <w:rFonts w:hint="eastAsia"/>
        </w:rPr>
        <w:t>思政融入理念</w:t>
      </w:r>
    </w:p>
    <w:p w14:paraId="4C90A95F">
      <w:pPr>
        <w:bidi w:val="0"/>
        <w:rPr>
          <w:rFonts w:hint="eastAsia"/>
        </w:rPr>
      </w:pPr>
      <w:r>
        <w:rPr>
          <w:rFonts w:hint="eastAsia"/>
        </w:rPr>
        <w:t>课程思政是一种教育教学理念，强调将思想政治教育融入高校每门课程教育教学的全过程，坚持知识传授与价值引领相结合。</w:t>
      </w:r>
    </w:p>
    <w:p w14:paraId="02833427">
      <w:pPr>
        <w:bidi w:val="0"/>
        <w:rPr>
          <w:rFonts w:hint="eastAsia"/>
        </w:rPr>
      </w:pPr>
      <w:r>
        <w:rPr>
          <w:rFonts w:hint="eastAsia"/>
          <w:lang w:val="en-US" w:eastAsia="zh-CN"/>
        </w:rPr>
        <w:t>2.</w:t>
      </w:r>
      <w:r>
        <w:rPr>
          <w:rFonts w:hint="eastAsia"/>
        </w:rPr>
        <w:t>思政融入方法</w:t>
      </w:r>
    </w:p>
    <w:p w14:paraId="6A272BE0">
      <w:pPr>
        <w:bidi w:val="0"/>
        <w:rPr>
          <w:rFonts w:hint="eastAsia"/>
        </w:rPr>
      </w:pPr>
      <w:r>
        <w:rPr>
          <w:rFonts w:hint="eastAsia"/>
        </w:rPr>
        <w:t>结合</w:t>
      </w:r>
      <w:r>
        <w:rPr>
          <w:rFonts w:hint="eastAsia"/>
          <w:lang w:val="en-US" w:eastAsia="zh-CN"/>
        </w:rPr>
        <w:t>旅游管理</w:t>
      </w:r>
      <w:r>
        <w:rPr>
          <w:rFonts w:hint="eastAsia"/>
        </w:rPr>
        <w:t>学专业知识，精炼符合“三新”标准的思政题材和内容（新素材、新理念、新视角），实现师生情感上的“三共”（共鸣、共情、共振）。</w:t>
      </w:r>
    </w:p>
    <w:p w14:paraId="3F90E2EB">
      <w:pPr>
        <w:bidi w:val="0"/>
        <w:rPr>
          <w:rFonts w:hint="eastAsia"/>
        </w:rPr>
      </w:pPr>
      <w:r>
        <w:rPr>
          <w:rFonts w:hint="eastAsia"/>
        </w:rPr>
        <w:t>通过</w:t>
      </w:r>
      <w:r>
        <w:rPr>
          <w:rFonts w:hint="eastAsia"/>
          <w:lang w:val="en-US" w:eastAsia="zh-CN"/>
        </w:rPr>
        <w:t>典型</w:t>
      </w:r>
      <w:r>
        <w:rPr>
          <w:rFonts w:hint="eastAsia"/>
        </w:rPr>
        <w:t>案例</w:t>
      </w:r>
      <w:r>
        <w:rPr>
          <w:rFonts w:hint="eastAsia"/>
          <w:lang w:val="en-US" w:eastAsia="zh-CN"/>
        </w:rPr>
        <w:t>分析</w:t>
      </w:r>
      <w:r>
        <w:rPr>
          <w:rFonts w:hint="eastAsia"/>
        </w:rPr>
        <w:t>、讨论式教学和情景教学等方法，将思政元素融入</w:t>
      </w:r>
      <w:r>
        <w:rPr>
          <w:rFonts w:hint="eastAsia"/>
          <w:lang w:val="en-US" w:eastAsia="zh-CN"/>
        </w:rPr>
        <w:t>课程</w:t>
      </w:r>
      <w:r>
        <w:rPr>
          <w:rFonts w:hint="eastAsia"/>
        </w:rPr>
        <w:t>教学中，激发学生的学习兴趣，培养学生的</w:t>
      </w:r>
      <w:r>
        <w:rPr>
          <w:rFonts w:hint="eastAsia"/>
          <w:lang w:val="en-US" w:eastAsia="zh-CN"/>
        </w:rPr>
        <w:t>社会责任感和职业道德</w:t>
      </w:r>
      <w:r>
        <w:rPr>
          <w:rFonts w:hint="eastAsia"/>
        </w:rPr>
        <w:t>。</w:t>
      </w:r>
    </w:p>
    <w:p w14:paraId="4CA2F27F">
      <w:pPr>
        <w:bidi w:val="0"/>
        <w:rPr>
          <w:rFonts w:hint="eastAsia"/>
        </w:rPr>
      </w:pPr>
      <w:r>
        <w:rPr>
          <w:rFonts w:hint="eastAsia"/>
          <w:lang w:val="en-US" w:eastAsia="zh-CN"/>
        </w:rPr>
        <w:t>3.</w:t>
      </w:r>
      <w:r>
        <w:rPr>
          <w:rFonts w:hint="eastAsia"/>
        </w:rPr>
        <w:t>思政融入内容</w:t>
      </w:r>
    </w:p>
    <w:p w14:paraId="666FC825">
      <w:pPr>
        <w:bidi w:val="0"/>
        <w:rPr>
          <w:rFonts w:hint="eastAsia"/>
        </w:rPr>
      </w:pPr>
      <w:r>
        <w:rPr>
          <w:rFonts w:hint="eastAsia"/>
        </w:rPr>
        <w:t>在</w:t>
      </w:r>
      <w:r>
        <w:rPr>
          <w:rFonts w:hint="eastAsia"/>
          <w:lang w:val="en-US" w:eastAsia="zh-CN"/>
        </w:rPr>
        <w:t>旅行社</w:t>
      </w:r>
      <w:r>
        <w:rPr>
          <w:rFonts w:hint="eastAsia"/>
        </w:rPr>
        <w:t>产品</w:t>
      </w:r>
      <w:r>
        <w:rPr>
          <w:rFonts w:hint="eastAsia"/>
          <w:lang w:val="en-US" w:eastAsia="zh-CN"/>
        </w:rPr>
        <w:t>开发</w:t>
      </w:r>
      <w:r>
        <w:rPr>
          <w:rFonts w:hint="eastAsia"/>
        </w:rPr>
        <w:t>、市场营销</w:t>
      </w:r>
      <w:r>
        <w:rPr>
          <w:rFonts w:hint="eastAsia"/>
          <w:lang w:eastAsia="zh-CN"/>
        </w:rPr>
        <w:t>、</w:t>
      </w:r>
      <w:r>
        <w:rPr>
          <w:rFonts w:hint="eastAsia"/>
          <w:lang w:val="en-US" w:eastAsia="zh-CN"/>
        </w:rPr>
        <w:t>接待服务、财务管理</w:t>
      </w:r>
      <w:r>
        <w:rPr>
          <w:rFonts w:hint="eastAsia"/>
        </w:rPr>
        <w:t>等教学中融入思想政治教育，如通过分析旅游行业的热点问题，增强学生的社会责任感；通过讨论旅游行业的职业道德规范，引导学生树立正确的职业道德观。</w:t>
      </w:r>
    </w:p>
    <w:p w14:paraId="6B9FECA5">
      <w:pPr>
        <w:pStyle w:val="2"/>
        <w:bidi w:val="0"/>
      </w:pPr>
      <w:bookmarkStart w:id="31" w:name="_Toc22160"/>
      <w:r>
        <w:rPr>
          <w:rFonts w:hint="eastAsia"/>
        </w:rPr>
        <w:t>六、课程结构与内容</w:t>
      </w:r>
      <w:bookmarkEnd w:id="28"/>
      <w:bookmarkEnd w:id="31"/>
      <w:bookmarkStart w:id="32" w:name="_Toc7467"/>
      <w:bookmarkStart w:id="33" w:name="_Toc19213"/>
    </w:p>
    <w:p w14:paraId="1FA0ADB1">
      <w:pPr>
        <w:ind w:firstLine="480"/>
        <w:jc w:val="center"/>
        <w:rPr>
          <w:rFonts w:ascii="仿宋_GB2312" w:hAnsi="仿宋_GB2312" w:cs="仿宋_GB2312"/>
          <w:b/>
          <w:bCs/>
          <w:sz w:val="24"/>
          <w:szCs w:val="21"/>
          <w:highlight w:val="yellow"/>
        </w:rPr>
      </w:pPr>
      <w:r>
        <w:rPr>
          <w:rFonts w:hint="eastAsia" w:ascii="仿宋_GB2312" w:hAnsi="仿宋_GB2312" w:cs="仿宋_GB2312"/>
          <w:b/>
          <w:bCs/>
          <w:sz w:val="24"/>
          <w:szCs w:val="21"/>
        </w:rPr>
        <w:t xml:space="preserve">表3. </w:t>
      </w:r>
      <w:r>
        <w:rPr>
          <w:rFonts w:hint="eastAsia" w:ascii="仿宋_GB2312" w:hAnsi="仿宋_GB2312" w:cs="仿宋_GB2312"/>
          <w:b/>
          <w:bCs/>
          <w:sz w:val="24"/>
          <w:szCs w:val="21"/>
          <w:highlight w:val="none"/>
        </w:rPr>
        <w:t>课程设计方案</w:t>
      </w:r>
      <w:bookmarkEnd w:id="32"/>
      <w:bookmarkEnd w:id="33"/>
    </w:p>
    <w:tbl>
      <w:tblPr>
        <w:tblStyle w:val="16"/>
        <w:tblW w:w="8672" w:type="dxa"/>
        <w:tblInd w:w="-492"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20"/>
        <w:gridCol w:w="915"/>
        <w:gridCol w:w="735"/>
        <w:gridCol w:w="2186"/>
        <w:gridCol w:w="967"/>
        <w:gridCol w:w="3008"/>
        <w:gridCol w:w="441"/>
      </w:tblGrid>
      <w:tr w14:paraId="2D32C91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0" w:type="dxa"/>
            <w:tcBorders>
              <w:tl2br w:val="nil"/>
              <w:tr2bl w:val="nil"/>
            </w:tcBorders>
            <w:vAlign w:val="center"/>
          </w:tcPr>
          <w:p w14:paraId="6EE36080">
            <w:pPr>
              <w:spacing w:line="240" w:lineRule="auto"/>
              <w:ind w:firstLine="0" w:firstLineChars="0"/>
              <w:jc w:val="both"/>
              <w:rPr>
                <w:rFonts w:hint="eastAsia" w:ascii="仿宋" w:hAnsi="仿宋" w:eastAsia="仿宋" w:cs="仿宋"/>
                <w:b/>
                <w:bCs/>
                <w:sz w:val="24"/>
                <w:szCs w:val="24"/>
              </w:rPr>
            </w:pPr>
            <w:r>
              <w:rPr>
                <w:rFonts w:hint="eastAsia" w:ascii="仿宋" w:hAnsi="仿宋" w:eastAsia="仿宋" w:cs="仿宋"/>
                <w:b/>
                <w:bCs/>
                <w:sz w:val="24"/>
                <w:szCs w:val="24"/>
              </w:rPr>
              <w:t>序号</w:t>
            </w:r>
          </w:p>
        </w:tc>
        <w:tc>
          <w:tcPr>
            <w:tcW w:w="915" w:type="dxa"/>
            <w:tcBorders>
              <w:tl2br w:val="nil"/>
              <w:tr2bl w:val="nil"/>
            </w:tcBorders>
            <w:vAlign w:val="center"/>
          </w:tcPr>
          <w:p w14:paraId="48F3DB54">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课程内容</w:t>
            </w:r>
          </w:p>
          <w:p w14:paraId="2A694AC9">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（模块/项目）</w:t>
            </w:r>
          </w:p>
        </w:tc>
        <w:tc>
          <w:tcPr>
            <w:tcW w:w="735" w:type="dxa"/>
            <w:tcBorders>
              <w:tl2br w:val="nil"/>
              <w:tr2bl w:val="nil"/>
            </w:tcBorders>
            <w:vAlign w:val="center"/>
          </w:tcPr>
          <w:p w14:paraId="14E34796">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学习任务</w:t>
            </w:r>
          </w:p>
        </w:tc>
        <w:tc>
          <w:tcPr>
            <w:tcW w:w="2186" w:type="dxa"/>
            <w:tcBorders>
              <w:tl2br w:val="nil"/>
              <w:tr2bl w:val="nil"/>
            </w:tcBorders>
            <w:vAlign w:val="center"/>
          </w:tcPr>
          <w:p w14:paraId="4ACFA94C">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学习内容</w:t>
            </w:r>
          </w:p>
          <w:p w14:paraId="5F2770A3">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和要求</w:t>
            </w:r>
          </w:p>
        </w:tc>
        <w:tc>
          <w:tcPr>
            <w:tcW w:w="967" w:type="dxa"/>
            <w:tcBorders>
              <w:tl2br w:val="nil"/>
              <w:tr2bl w:val="nil"/>
            </w:tcBorders>
            <w:vAlign w:val="center"/>
          </w:tcPr>
          <w:p w14:paraId="7E4FD7E5">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教学</w:t>
            </w:r>
          </w:p>
          <w:p w14:paraId="549DC770">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设计</w:t>
            </w:r>
          </w:p>
        </w:tc>
        <w:tc>
          <w:tcPr>
            <w:tcW w:w="3008" w:type="dxa"/>
            <w:tcBorders>
              <w:tl2br w:val="nil"/>
              <w:tr2bl w:val="nil"/>
            </w:tcBorders>
            <w:vAlign w:val="center"/>
          </w:tcPr>
          <w:p w14:paraId="3E77EF9F">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课程思政设计</w:t>
            </w:r>
          </w:p>
        </w:tc>
        <w:tc>
          <w:tcPr>
            <w:tcW w:w="441" w:type="dxa"/>
            <w:tcBorders>
              <w:tl2br w:val="nil"/>
              <w:tr2bl w:val="nil"/>
            </w:tcBorders>
            <w:vAlign w:val="center"/>
          </w:tcPr>
          <w:p w14:paraId="15DEE9FE">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学时</w:t>
            </w:r>
          </w:p>
        </w:tc>
      </w:tr>
      <w:tr w14:paraId="3471C67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0" w:type="dxa"/>
            <w:tcBorders>
              <w:tl2br w:val="nil"/>
              <w:tr2bl w:val="nil"/>
            </w:tcBorders>
            <w:vAlign w:val="center"/>
          </w:tcPr>
          <w:p w14:paraId="708B6FC8">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rPr>
              <w:t>1</w:t>
            </w:r>
          </w:p>
        </w:tc>
        <w:tc>
          <w:tcPr>
            <w:tcW w:w="915" w:type="dxa"/>
            <w:tcBorders>
              <w:tl2br w:val="nil"/>
              <w:tr2bl w:val="nil"/>
            </w:tcBorders>
            <w:vAlign w:val="center"/>
          </w:tcPr>
          <w:p w14:paraId="4C036BE5">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模块一</w:t>
            </w:r>
          </w:p>
        </w:tc>
        <w:tc>
          <w:tcPr>
            <w:tcW w:w="735" w:type="dxa"/>
            <w:tcBorders>
              <w:tl2br w:val="nil"/>
              <w:tr2bl w:val="nil"/>
            </w:tcBorders>
            <w:vAlign w:val="center"/>
          </w:tcPr>
          <w:p w14:paraId="057B30E2">
            <w:pPr>
              <w:spacing w:line="240" w:lineRule="auto"/>
              <w:ind w:left="0" w:leftChars="0" w:firstLine="0" w:firstLineChars="0"/>
              <w:jc w:val="left"/>
              <w:rPr>
                <w:rFonts w:hint="default"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bidi="ar-SA"/>
              </w:rPr>
              <w:t>中华人民共和国旅游法</w:t>
            </w:r>
          </w:p>
          <w:p w14:paraId="1F99C591">
            <w:pPr>
              <w:spacing w:line="240" w:lineRule="auto"/>
              <w:ind w:left="0" w:leftChars="0" w:firstLine="0" w:firstLineChars="0"/>
              <w:jc w:val="left"/>
              <w:rPr>
                <w:rFonts w:hint="default" w:ascii="仿宋" w:hAnsi="仿宋" w:eastAsia="仿宋" w:cs="仿宋"/>
                <w:kern w:val="0"/>
                <w:sz w:val="24"/>
                <w:szCs w:val="24"/>
                <w:lang w:val="en-US" w:eastAsia="zh-CN" w:bidi="ar-SA"/>
              </w:rPr>
            </w:pPr>
          </w:p>
        </w:tc>
        <w:tc>
          <w:tcPr>
            <w:tcW w:w="2186" w:type="dxa"/>
            <w:tcBorders>
              <w:tl2br w:val="nil"/>
              <w:tr2bl w:val="nil"/>
            </w:tcBorders>
            <w:vAlign w:val="center"/>
          </w:tcPr>
          <w:p w14:paraId="3C0677E1">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①掌握基础理论知识</w:t>
            </w:r>
          </w:p>
          <w:p w14:paraId="31221D7F">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②熟悉相关法律法规。</w:t>
            </w:r>
          </w:p>
          <w:p w14:paraId="72AC6018">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③提升法律应用能力。</w:t>
            </w:r>
          </w:p>
        </w:tc>
        <w:tc>
          <w:tcPr>
            <w:tcW w:w="967" w:type="dxa"/>
            <w:tcBorders>
              <w:tl2br w:val="nil"/>
              <w:tr2bl w:val="nil"/>
            </w:tcBorders>
            <w:vAlign w:val="center"/>
          </w:tcPr>
          <w:p w14:paraId="1E5D1665">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28C3B163">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5814894D">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484F3A03">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3008" w:type="dxa"/>
            <w:tcBorders>
              <w:tl2br w:val="nil"/>
              <w:tr2bl w:val="nil"/>
            </w:tcBorders>
            <w:vAlign w:val="center"/>
          </w:tcPr>
          <w:p w14:paraId="7E2AE2D8">
            <w:pPr>
              <w:widowControl/>
              <w:spacing w:line="240" w:lineRule="auto"/>
              <w:ind w:left="0" w:leftChars="0" w:firstLine="0" w:firstLineChars="0"/>
              <w:rPr>
                <w:rFonts w:hint="default"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家国情怀&amp;法治意识&amp;职业道德&amp;职业素养</w:t>
            </w:r>
          </w:p>
          <w:p w14:paraId="6F24FFCD">
            <w:pPr>
              <w:widowControl/>
              <w:spacing w:line="240" w:lineRule="auto"/>
              <w:ind w:left="0" w:leftChars="0" w:firstLine="0" w:firstLineChars="0"/>
              <w:rPr>
                <w:rFonts w:hint="eastAsia" w:ascii="仿宋" w:hAnsi="仿宋" w:eastAsia="仿宋" w:cs="仿宋"/>
                <w:b/>
                <w:bCs/>
                <w:kern w:val="0"/>
                <w:sz w:val="24"/>
                <w:szCs w:val="24"/>
                <w:lang w:val="en-US" w:eastAsia="zh-CN" w:bidi="ar-SA"/>
              </w:rPr>
            </w:pPr>
            <w:r>
              <w:rPr>
                <w:rFonts w:hint="eastAsia" w:ascii="仿宋" w:hAnsi="仿宋" w:eastAsia="仿宋" w:cs="仿宋"/>
                <w:kern w:val="0"/>
                <w:sz w:val="24"/>
                <w:szCs w:val="24"/>
                <w:lang w:val="en-US" w:eastAsia="zh-CN"/>
              </w:rPr>
              <w:t>强调旅游法律法规的重要性，如《旅游法》，培养学生的契约精神、规则意识和职业道德，使其明白在旅游服务中应诚实守信、尽职尽责，确保游客利益与旅行安全。</w:t>
            </w:r>
          </w:p>
        </w:tc>
        <w:tc>
          <w:tcPr>
            <w:tcW w:w="441" w:type="dxa"/>
            <w:tcBorders>
              <w:tl2br w:val="nil"/>
              <w:tr2bl w:val="nil"/>
            </w:tcBorders>
            <w:vAlign w:val="center"/>
          </w:tcPr>
          <w:p w14:paraId="67A99F2F">
            <w:pPr>
              <w:spacing w:line="240" w:lineRule="auto"/>
              <w:ind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45A604E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0" w:type="dxa"/>
            <w:tcBorders>
              <w:tl2br w:val="nil"/>
              <w:tr2bl w:val="nil"/>
            </w:tcBorders>
            <w:vAlign w:val="center"/>
          </w:tcPr>
          <w:p w14:paraId="4B957732">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915" w:type="dxa"/>
            <w:tcBorders>
              <w:tl2br w:val="nil"/>
              <w:tr2bl w:val="nil"/>
            </w:tcBorders>
            <w:vAlign w:val="center"/>
          </w:tcPr>
          <w:p w14:paraId="67461051">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模块二</w:t>
            </w:r>
          </w:p>
        </w:tc>
        <w:tc>
          <w:tcPr>
            <w:tcW w:w="735" w:type="dxa"/>
            <w:tcBorders>
              <w:tl2br w:val="nil"/>
              <w:tr2bl w:val="nil"/>
            </w:tcBorders>
            <w:vAlign w:val="center"/>
          </w:tcPr>
          <w:p w14:paraId="097EF7EF">
            <w:pPr>
              <w:spacing w:line="240" w:lineRule="auto"/>
              <w:ind w:left="0" w:leftChars="0" w:firstLine="0" w:firstLineChars="0"/>
              <w:outlineLvl w:val="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旅行社管理法规制度</w:t>
            </w:r>
          </w:p>
        </w:tc>
        <w:tc>
          <w:tcPr>
            <w:tcW w:w="2186" w:type="dxa"/>
            <w:tcBorders>
              <w:tl2br w:val="nil"/>
              <w:tr2bl w:val="nil"/>
            </w:tcBorders>
            <w:vAlign w:val="center"/>
          </w:tcPr>
          <w:p w14:paraId="799AC886">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①熟悉《中华人民共和国旅游法》《旅行社条例》《旅行社条例实施细则》等相关法律法规的内容。</w:t>
            </w:r>
          </w:p>
          <w:p w14:paraId="3A1E0CCF">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②能够结合实际案例，运用所学的旅行社管理法规制度进行分析和判断。</w:t>
            </w:r>
          </w:p>
          <w:p w14:paraId="639D080D">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③将所学法规制度运用到旅行社的实际经营管理中。</w:t>
            </w:r>
          </w:p>
          <w:p w14:paraId="0A22B564">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kern w:val="0"/>
                <w:sz w:val="24"/>
                <w:szCs w:val="24"/>
                <w:lang w:val="en-US" w:eastAsia="zh-CN"/>
              </w:rPr>
            </w:pPr>
          </w:p>
        </w:tc>
        <w:tc>
          <w:tcPr>
            <w:tcW w:w="967" w:type="dxa"/>
            <w:tcBorders>
              <w:tl2br w:val="nil"/>
              <w:tr2bl w:val="nil"/>
            </w:tcBorders>
            <w:vAlign w:val="center"/>
          </w:tcPr>
          <w:p w14:paraId="5B87BD28">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3034999D">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1AB0402E">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599C2022">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3008" w:type="dxa"/>
            <w:tcBorders>
              <w:tl2br w:val="nil"/>
              <w:tr2bl w:val="nil"/>
            </w:tcBorders>
            <w:vAlign w:val="center"/>
          </w:tcPr>
          <w:p w14:paraId="7AFE6C5E">
            <w:pPr>
              <w:widowControl/>
              <w:spacing w:line="240" w:lineRule="auto"/>
              <w:ind w:left="0" w:leftChars="0" w:firstLine="0" w:firstLineChars="0"/>
              <w:rPr>
                <w:rFonts w:hint="default"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诚信元素&amp;公正元素&amp;法治元素</w:t>
            </w:r>
          </w:p>
          <w:p w14:paraId="636642F5">
            <w:pPr>
              <w:widowControl/>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法规制度中隐含对旅游业发展的政治引领，如落实 “以人民为中心” 的发展思想（《旅游法》第一条 “保障旅游者和旅游经营者的合法权益”），体现党和国家对民生福祉的重视，强化 “人民至上” 的价值理念。</w:t>
            </w:r>
          </w:p>
        </w:tc>
        <w:tc>
          <w:tcPr>
            <w:tcW w:w="441" w:type="dxa"/>
            <w:tcBorders>
              <w:tl2br w:val="nil"/>
              <w:tr2bl w:val="nil"/>
            </w:tcBorders>
            <w:vAlign w:val="center"/>
          </w:tcPr>
          <w:p w14:paraId="2E284698">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4A12B6C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0" w:type="dxa"/>
            <w:tcBorders>
              <w:tl2br w:val="nil"/>
              <w:tr2bl w:val="nil"/>
            </w:tcBorders>
            <w:vAlign w:val="center"/>
          </w:tcPr>
          <w:p w14:paraId="5E772525">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w:t>
            </w:r>
          </w:p>
        </w:tc>
        <w:tc>
          <w:tcPr>
            <w:tcW w:w="915" w:type="dxa"/>
            <w:tcBorders>
              <w:tl2br w:val="nil"/>
              <w:tr2bl w:val="nil"/>
            </w:tcBorders>
            <w:vAlign w:val="center"/>
          </w:tcPr>
          <w:p w14:paraId="3CD610FD">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模块三</w:t>
            </w:r>
          </w:p>
        </w:tc>
        <w:tc>
          <w:tcPr>
            <w:tcW w:w="735" w:type="dxa"/>
            <w:tcBorders>
              <w:tl2br w:val="nil"/>
              <w:tr2bl w:val="nil"/>
            </w:tcBorders>
            <w:vAlign w:val="center"/>
          </w:tcPr>
          <w:p w14:paraId="5E0ED258">
            <w:pPr>
              <w:spacing w:line="240" w:lineRule="auto"/>
              <w:ind w:left="0" w:leftChars="0" w:firstLine="0" w:firstLineChars="0"/>
              <w:jc w:val="left"/>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导游人员管理法规制度</w:t>
            </w:r>
          </w:p>
        </w:tc>
        <w:tc>
          <w:tcPr>
            <w:tcW w:w="2186" w:type="dxa"/>
            <w:tcBorders>
              <w:tl2br w:val="nil"/>
              <w:tr2bl w:val="nil"/>
            </w:tcBorders>
            <w:vAlign w:val="center"/>
          </w:tcPr>
          <w:p w14:paraId="2424B03F">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①理解法规内容</w:t>
            </w:r>
          </w:p>
          <w:p w14:paraId="65B82BA9">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②掌握导游在执业过程中应遵守的各项规定</w:t>
            </w:r>
          </w:p>
          <w:p w14:paraId="4ABC0B59">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③熟悉导游依法享有的权利</w:t>
            </w:r>
          </w:p>
        </w:tc>
        <w:tc>
          <w:tcPr>
            <w:tcW w:w="967" w:type="dxa"/>
            <w:tcBorders>
              <w:tl2br w:val="nil"/>
              <w:tr2bl w:val="nil"/>
            </w:tcBorders>
            <w:vAlign w:val="center"/>
          </w:tcPr>
          <w:p w14:paraId="2CFCA4CF">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170F568A">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13B4EB43">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3542EEAA">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3008" w:type="dxa"/>
            <w:tcBorders>
              <w:tl2br w:val="nil"/>
              <w:tr2bl w:val="nil"/>
            </w:tcBorders>
            <w:vAlign w:val="center"/>
          </w:tcPr>
          <w:p w14:paraId="540E85DD">
            <w:pPr>
              <w:widowControl/>
              <w:spacing w:line="240" w:lineRule="auto"/>
              <w:ind w:left="0" w:leftChars="0" w:firstLine="0" w:firstLineChars="0"/>
            </w:pPr>
            <w:r>
              <w:rPr>
                <w:rFonts w:hint="eastAsia" w:ascii="仿宋" w:hAnsi="仿宋" w:eastAsia="仿宋" w:cs="仿宋"/>
                <w:b/>
                <w:bCs/>
                <w:kern w:val="0"/>
                <w:sz w:val="24"/>
                <w:szCs w:val="24"/>
                <w:lang w:val="en-US" w:eastAsia="zh-CN"/>
              </w:rPr>
              <w:t>诚信元素&amp;公正元素&amp;法治元素&amp;责任意识元素</w:t>
            </w:r>
          </w:p>
          <w:p w14:paraId="579791FD">
            <w:pPr>
              <w:widowControl/>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《导游管理办法》第二十二条明确要求导游 “自觉维护国家利益和民族尊严”，禁止传播损害国家形象、民族尊严的内容</w:t>
            </w:r>
            <w:r>
              <w:rPr>
                <w:rFonts w:hint="default" w:ascii="仿宋" w:hAnsi="仿宋" w:eastAsia="仿宋" w:cs="仿宋"/>
                <w:kern w:val="0"/>
                <w:sz w:val="24"/>
                <w:szCs w:val="24"/>
                <w:lang w:val="en-US" w:eastAsia="zh-CN"/>
              </w:rPr>
              <w:t>。这一规定直接回应了党中央关于意识形态安全的战略部署，将导游的职业行为与国家政治安全紧密绑定。</w:t>
            </w:r>
          </w:p>
        </w:tc>
        <w:tc>
          <w:tcPr>
            <w:tcW w:w="441" w:type="dxa"/>
            <w:tcBorders>
              <w:tl2br w:val="nil"/>
              <w:tr2bl w:val="nil"/>
            </w:tcBorders>
            <w:vAlign w:val="center"/>
          </w:tcPr>
          <w:p w14:paraId="7176ECA2">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0DFEE5E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0" w:type="dxa"/>
            <w:tcBorders>
              <w:tl2br w:val="nil"/>
              <w:tr2bl w:val="nil"/>
            </w:tcBorders>
            <w:vAlign w:val="center"/>
          </w:tcPr>
          <w:p w14:paraId="604C6F78">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w:t>
            </w:r>
          </w:p>
        </w:tc>
        <w:tc>
          <w:tcPr>
            <w:tcW w:w="915" w:type="dxa"/>
            <w:tcBorders>
              <w:tl2br w:val="nil"/>
              <w:tr2bl w:val="nil"/>
            </w:tcBorders>
            <w:vAlign w:val="center"/>
          </w:tcPr>
          <w:p w14:paraId="7AE52571">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模块四</w:t>
            </w:r>
          </w:p>
        </w:tc>
        <w:tc>
          <w:tcPr>
            <w:tcW w:w="735" w:type="dxa"/>
            <w:tcBorders>
              <w:tl2br w:val="nil"/>
              <w:tr2bl w:val="nil"/>
            </w:tcBorders>
            <w:vAlign w:val="center"/>
          </w:tcPr>
          <w:p w14:paraId="228F3EC9">
            <w:pPr>
              <w:spacing w:line="240" w:lineRule="auto"/>
              <w:ind w:left="0" w:leftChars="0" w:firstLine="0" w:firstLineChars="0"/>
              <w:jc w:val="left"/>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bidi="ar-SA"/>
              </w:rPr>
              <w:t>旅游饭店管理法规制度</w:t>
            </w:r>
          </w:p>
        </w:tc>
        <w:tc>
          <w:tcPr>
            <w:tcW w:w="2186" w:type="dxa"/>
            <w:tcBorders>
              <w:tl2br w:val="nil"/>
              <w:tr2bl w:val="nil"/>
            </w:tcBorders>
            <w:vAlign w:val="center"/>
          </w:tcPr>
          <w:p w14:paraId="71846931">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①掌握星级评定的范围、标准、方法、检查、复检及处理制度。</w:t>
            </w:r>
          </w:p>
          <w:p w14:paraId="694CF683">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②了解旅游饭店在经营中的治安管理要求。</w:t>
            </w:r>
          </w:p>
          <w:p w14:paraId="454996CC">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③明确饭店与旅客之间的权利义务关系。</w:t>
            </w:r>
          </w:p>
        </w:tc>
        <w:tc>
          <w:tcPr>
            <w:tcW w:w="967" w:type="dxa"/>
            <w:tcBorders>
              <w:tl2br w:val="nil"/>
              <w:tr2bl w:val="nil"/>
            </w:tcBorders>
            <w:vAlign w:val="center"/>
          </w:tcPr>
          <w:p w14:paraId="3EA2A613">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4C373771">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5877EE7F">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7FD540C2">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3008" w:type="dxa"/>
            <w:tcBorders>
              <w:tl2br w:val="nil"/>
              <w:tr2bl w:val="nil"/>
            </w:tcBorders>
            <w:vAlign w:val="center"/>
          </w:tcPr>
          <w:p w14:paraId="1009E865">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法治元素&amp;责任意识元素&amp;职业道德元素&amp;家国元素</w:t>
            </w:r>
          </w:p>
          <w:p w14:paraId="0AA519D4">
            <w:pPr>
              <w:widowControl/>
              <w:spacing w:line="240" w:lineRule="auto"/>
              <w:ind w:left="0" w:lef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《导游人员管理条例》禁止 “欺骗、胁迫旅游者消费”，饭店从业人员需遵守《旅游行业核心价值观》中的 “服务至诚” 原则。</w:t>
            </w:r>
          </w:p>
        </w:tc>
        <w:tc>
          <w:tcPr>
            <w:tcW w:w="441" w:type="dxa"/>
            <w:tcBorders>
              <w:tl2br w:val="nil"/>
              <w:tr2bl w:val="nil"/>
            </w:tcBorders>
            <w:vAlign w:val="center"/>
          </w:tcPr>
          <w:p w14:paraId="45A86353">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0C2D0E2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0" w:type="dxa"/>
            <w:tcBorders>
              <w:tl2br w:val="nil"/>
              <w:tr2bl w:val="nil"/>
            </w:tcBorders>
            <w:vAlign w:val="center"/>
          </w:tcPr>
          <w:p w14:paraId="07CF892C">
            <w:pPr>
              <w:spacing w:line="240" w:lineRule="auto"/>
              <w:ind w:firstLine="0" w:firstLineChars="0"/>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5</w:t>
            </w:r>
          </w:p>
        </w:tc>
        <w:tc>
          <w:tcPr>
            <w:tcW w:w="915" w:type="dxa"/>
            <w:tcBorders>
              <w:tl2br w:val="nil"/>
              <w:tr2bl w:val="nil"/>
            </w:tcBorders>
            <w:vAlign w:val="center"/>
          </w:tcPr>
          <w:p w14:paraId="4654247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模块五</w:t>
            </w:r>
          </w:p>
        </w:tc>
        <w:tc>
          <w:tcPr>
            <w:tcW w:w="735" w:type="dxa"/>
            <w:tcBorders>
              <w:tl2br w:val="nil"/>
              <w:tr2bl w:val="nil"/>
            </w:tcBorders>
            <w:vAlign w:val="center"/>
          </w:tcPr>
          <w:p w14:paraId="2B7AC778">
            <w:pPr>
              <w:spacing w:line="240" w:lineRule="auto"/>
              <w:ind w:left="0" w:leftChars="0" w:firstLine="0" w:firstLineChars="0"/>
              <w:jc w:val="left"/>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旅游交通管理法规制度</w:t>
            </w:r>
          </w:p>
        </w:tc>
        <w:tc>
          <w:tcPr>
            <w:tcW w:w="2186" w:type="dxa"/>
            <w:tcBorders>
              <w:tl2br w:val="nil"/>
              <w:tr2bl w:val="nil"/>
            </w:tcBorders>
            <w:vAlign w:val="center"/>
          </w:tcPr>
          <w:p w14:paraId="11589EF1">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①了解旅游交通的概念、特点，以及旅游交通管理法规的制定原则与发展历程</w:t>
            </w:r>
          </w:p>
          <w:p w14:paraId="7DF9B4C5">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②掌握航空旅客运输的规定</w:t>
            </w:r>
          </w:p>
          <w:p w14:paraId="2E106B33">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③明确公路旅客运输的经营管理要求。</w:t>
            </w:r>
          </w:p>
        </w:tc>
        <w:tc>
          <w:tcPr>
            <w:tcW w:w="967" w:type="dxa"/>
            <w:tcBorders>
              <w:tl2br w:val="nil"/>
              <w:tr2bl w:val="nil"/>
            </w:tcBorders>
            <w:vAlign w:val="center"/>
          </w:tcPr>
          <w:p w14:paraId="2C60F10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left"/>
              <w:textAlignment w:val="center"/>
              <w:rPr>
                <w:rFonts w:hint="eastAsia" w:ascii="仿宋" w:hAnsi="仿宋" w:eastAsia="仿宋" w:cs="仿宋"/>
                <w:kern w:val="0"/>
                <w:sz w:val="24"/>
                <w:szCs w:val="24"/>
                <w:lang w:val="en-US"/>
              </w:rPr>
            </w:pPr>
            <w:r>
              <w:rPr>
                <w:rFonts w:hint="eastAsia" w:ascii="仿宋" w:hAnsi="仿宋" w:eastAsia="仿宋" w:cs="仿宋"/>
                <w:b/>
                <w:bCs/>
                <w:kern w:val="0"/>
                <w:sz w:val="24"/>
                <w:szCs w:val="24"/>
                <w:lang w:val="en-US" w:eastAsia="zh-CN" w:bidi="ar"/>
              </w:rPr>
              <w:t>讲授法</w:t>
            </w:r>
            <w:r>
              <w:rPr>
                <w:rFonts w:hint="eastAsia" w:ascii="仿宋" w:hAnsi="仿宋" w:eastAsia="仿宋" w:cs="仿宋"/>
                <w:b/>
                <w:bCs/>
                <w:kern w:val="0"/>
                <w:sz w:val="24"/>
                <w:szCs w:val="24"/>
                <w:lang w:val="en-US" w:eastAsia="zh-CN" w:bidi="ar"/>
              </w:rPr>
              <w:br w:type="textWrapping"/>
            </w:r>
            <w:r>
              <w:rPr>
                <w:rFonts w:hint="eastAsia" w:ascii="仿宋" w:hAnsi="仿宋" w:eastAsia="仿宋" w:cs="仿宋"/>
                <w:b/>
                <w:bCs/>
                <w:kern w:val="0"/>
                <w:sz w:val="24"/>
                <w:szCs w:val="24"/>
                <w:lang w:val="en-US" w:eastAsia="zh-CN" w:bidi="ar"/>
              </w:rPr>
              <w:t>讨论法</w:t>
            </w:r>
          </w:p>
          <w:p w14:paraId="187D1AA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left"/>
              <w:rPr>
                <w:rFonts w:hint="eastAsia" w:ascii="仿宋" w:hAnsi="仿宋" w:eastAsia="仿宋" w:cs="仿宋"/>
                <w:b/>
                <w:bCs/>
                <w:kern w:val="0"/>
                <w:sz w:val="24"/>
                <w:szCs w:val="24"/>
                <w:lang w:val="en-US" w:eastAsia="zh-CN" w:bidi="ar"/>
              </w:rPr>
            </w:pPr>
            <w:r>
              <w:rPr>
                <w:rFonts w:hint="eastAsia" w:ascii="仿宋" w:hAnsi="仿宋" w:eastAsia="仿宋" w:cs="仿宋"/>
                <w:b/>
                <w:bCs/>
                <w:kern w:val="0"/>
                <w:sz w:val="24"/>
                <w:szCs w:val="24"/>
                <w:lang w:val="en-US" w:eastAsia="zh-CN" w:bidi="ar"/>
              </w:rPr>
              <w:t>案例分析法</w:t>
            </w:r>
          </w:p>
          <w:p w14:paraId="59F4459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left"/>
              <w:rPr>
                <w:rFonts w:hint="eastAsia" w:ascii="仿宋" w:hAnsi="仿宋" w:eastAsia="仿宋" w:cs="仿宋"/>
                <w:b/>
                <w:bCs/>
                <w:kern w:val="0"/>
                <w:sz w:val="24"/>
                <w:szCs w:val="24"/>
                <w:lang w:val="en-US" w:eastAsia="zh-CN" w:bidi="ar"/>
              </w:rPr>
            </w:pPr>
            <w:r>
              <w:rPr>
                <w:rFonts w:hint="eastAsia" w:ascii="仿宋" w:hAnsi="仿宋" w:eastAsia="仿宋" w:cs="仿宋"/>
                <w:b/>
                <w:bCs/>
                <w:kern w:val="0"/>
                <w:sz w:val="24"/>
                <w:szCs w:val="24"/>
                <w:lang w:val="en-US" w:eastAsia="zh-CN"/>
              </w:rPr>
              <w:t>项目实践法</w:t>
            </w:r>
          </w:p>
        </w:tc>
        <w:tc>
          <w:tcPr>
            <w:tcW w:w="3008" w:type="dxa"/>
            <w:tcBorders>
              <w:tl2br w:val="nil"/>
              <w:tr2bl w:val="nil"/>
            </w:tcBorders>
            <w:vAlign w:val="center"/>
          </w:tcPr>
          <w:p w14:paraId="2700FB3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法治元素&amp;职业道德元素&amp;道德元素&amp;家国元素</w:t>
            </w:r>
          </w:p>
          <w:p w14:paraId="658D1B4D">
            <w:pPr>
              <w:widowControl/>
              <w:spacing w:line="240" w:lineRule="auto"/>
              <w:ind w:left="0" w:lef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《道路旅客运输及客运站管理规定》禁止虚假宣传、价格欺诈，要求企业依法经营、诚信服务2</w:t>
            </w:r>
            <w:r>
              <w:rPr>
                <w:rFonts w:hint="default" w:ascii="仿宋" w:hAnsi="仿宋" w:eastAsia="仿宋" w:cs="仿宋"/>
                <w:kern w:val="0"/>
                <w:sz w:val="24"/>
                <w:szCs w:val="24"/>
                <w:lang w:val="en-US" w:eastAsia="zh-CN"/>
              </w:rPr>
              <w:t>。黄山通过信用监管办法，对违规企业实施联合惩戒，强化 “法无授权不可为” 的法治思维</w:t>
            </w:r>
            <w:r>
              <w:rPr>
                <w:rFonts w:hint="eastAsia" w:ascii="仿宋" w:hAnsi="仿宋" w:eastAsia="仿宋" w:cs="仿宋"/>
                <w:kern w:val="0"/>
                <w:sz w:val="24"/>
                <w:szCs w:val="24"/>
                <w:lang w:val="en-US" w:eastAsia="zh-CN"/>
              </w:rPr>
              <w:t>。</w:t>
            </w:r>
          </w:p>
        </w:tc>
        <w:tc>
          <w:tcPr>
            <w:tcW w:w="441" w:type="dxa"/>
            <w:tcBorders>
              <w:tl2br w:val="nil"/>
              <w:tr2bl w:val="nil"/>
            </w:tcBorders>
            <w:vAlign w:val="center"/>
          </w:tcPr>
          <w:p w14:paraId="6415C6A0">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436226D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0" w:type="dxa"/>
            <w:tcBorders>
              <w:tl2br w:val="nil"/>
              <w:tr2bl w:val="nil"/>
            </w:tcBorders>
            <w:vAlign w:val="center"/>
          </w:tcPr>
          <w:p w14:paraId="7BB7E662">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6</w:t>
            </w:r>
          </w:p>
        </w:tc>
        <w:tc>
          <w:tcPr>
            <w:tcW w:w="915" w:type="dxa"/>
            <w:tcBorders>
              <w:tl2br w:val="nil"/>
              <w:tr2bl w:val="nil"/>
            </w:tcBorders>
            <w:vAlign w:val="center"/>
          </w:tcPr>
          <w:p w14:paraId="1975AC5F">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模块六</w:t>
            </w:r>
          </w:p>
        </w:tc>
        <w:tc>
          <w:tcPr>
            <w:tcW w:w="735" w:type="dxa"/>
            <w:tcBorders>
              <w:tl2br w:val="nil"/>
              <w:tr2bl w:val="nil"/>
            </w:tcBorders>
            <w:vAlign w:val="center"/>
          </w:tcPr>
          <w:p w14:paraId="491313BA">
            <w:pPr>
              <w:spacing w:line="240" w:lineRule="auto"/>
              <w:ind w:left="0" w:leftChars="0" w:firstLine="0" w:firstLineChars="0"/>
              <w:jc w:val="left"/>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旅游安全管理法规制度</w:t>
            </w:r>
          </w:p>
        </w:tc>
        <w:tc>
          <w:tcPr>
            <w:tcW w:w="2186" w:type="dxa"/>
            <w:tcBorders>
              <w:tl2br w:val="nil"/>
              <w:tr2bl w:val="nil"/>
            </w:tcBorders>
            <w:vAlign w:val="center"/>
          </w:tcPr>
          <w:p w14:paraId="45A05E0C">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①掌握旅游安全事故的定义、分类</w:t>
            </w:r>
          </w:p>
          <w:p w14:paraId="5A6ECE1B">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②了解旅行社在选择旅游供应商、安排行程、签订合同等方面的安全管理责任</w:t>
            </w:r>
          </w:p>
          <w:p w14:paraId="52FD96B5">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③了解旅游客运企业的安全管理规定</w:t>
            </w:r>
          </w:p>
        </w:tc>
        <w:tc>
          <w:tcPr>
            <w:tcW w:w="967" w:type="dxa"/>
            <w:tcBorders>
              <w:tl2br w:val="nil"/>
              <w:tr2bl w:val="nil"/>
            </w:tcBorders>
            <w:vAlign w:val="top"/>
          </w:tcPr>
          <w:p w14:paraId="1005809A">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32E293DE">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47636A69">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1635DACD">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p w14:paraId="028CFDC2">
            <w:pPr>
              <w:widowControl/>
              <w:spacing w:line="240" w:lineRule="auto"/>
              <w:ind w:firstLine="480" w:firstLineChars="200"/>
              <w:jc w:val="both"/>
              <w:rPr>
                <w:rFonts w:hint="eastAsia" w:ascii="仿宋" w:hAnsi="仿宋" w:eastAsia="仿宋" w:cs="仿宋"/>
                <w:kern w:val="0"/>
                <w:sz w:val="24"/>
                <w:szCs w:val="24"/>
                <w:lang w:val="en-US" w:eastAsia="zh-CN" w:bidi="ar-SA"/>
              </w:rPr>
            </w:pPr>
          </w:p>
        </w:tc>
        <w:tc>
          <w:tcPr>
            <w:tcW w:w="3008" w:type="dxa"/>
            <w:tcBorders>
              <w:tl2br w:val="nil"/>
              <w:tr2bl w:val="nil"/>
            </w:tcBorders>
            <w:vAlign w:val="center"/>
          </w:tcPr>
          <w:p w14:paraId="68FC041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法治与诚信元素&amp;服务与责任元素</w:t>
            </w:r>
            <w:r>
              <w:rPr>
                <w:rFonts w:hint="default" w:ascii="仿宋" w:hAnsi="仿宋" w:eastAsia="仿宋" w:cs="仿宋"/>
                <w:b/>
                <w:bCs/>
                <w:kern w:val="0"/>
                <w:sz w:val="24"/>
                <w:szCs w:val="24"/>
                <w:lang w:val="en-US" w:eastAsia="zh-CN"/>
              </w:rPr>
              <w:t xml:space="preserve"> </w:t>
            </w:r>
            <w:r>
              <w:rPr>
                <w:rFonts w:hint="eastAsia" w:ascii="仿宋" w:hAnsi="仿宋" w:eastAsia="仿宋" w:cs="仿宋"/>
                <w:b/>
                <w:bCs/>
                <w:kern w:val="0"/>
                <w:sz w:val="24"/>
                <w:szCs w:val="24"/>
                <w:lang w:val="en-US" w:eastAsia="zh-CN"/>
              </w:rPr>
              <w:t>&amp;质量与标准化元素&amp;职业自豪感与团队合作元素</w:t>
            </w:r>
          </w:p>
          <w:p w14:paraId="102CB27B">
            <w:pPr>
              <w:widowControl/>
              <w:spacing w:line="240" w:lineRule="auto"/>
              <w:ind w:left="0" w:lef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法规明确将 “人民至上、生命至上” 作为根本宗旨，如《旅游安全管理办法》第三条强调 “预防为主、综合治理”，与习近平总书记 “统筹发展和安全” 的重要论述直接呼应。</w:t>
            </w:r>
          </w:p>
          <w:p w14:paraId="0139B3F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Fonts w:hint="default" w:ascii="仿宋" w:hAnsi="仿宋" w:eastAsia="仿宋" w:cs="仿宋"/>
                <w:kern w:val="0"/>
                <w:sz w:val="24"/>
                <w:szCs w:val="24"/>
                <w:lang w:val="en-US" w:eastAsia="zh-CN" w:bidi="ar-SA"/>
              </w:rPr>
            </w:pPr>
          </w:p>
        </w:tc>
        <w:tc>
          <w:tcPr>
            <w:tcW w:w="441" w:type="dxa"/>
            <w:tcBorders>
              <w:tl2br w:val="nil"/>
              <w:tr2bl w:val="nil"/>
            </w:tcBorders>
            <w:vAlign w:val="center"/>
          </w:tcPr>
          <w:p w14:paraId="56F52B11">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10813CD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0" w:type="dxa"/>
            <w:tcBorders>
              <w:tl2br w:val="nil"/>
              <w:tr2bl w:val="nil"/>
            </w:tcBorders>
            <w:vAlign w:val="center"/>
          </w:tcPr>
          <w:p w14:paraId="1686B10A">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7</w:t>
            </w:r>
          </w:p>
        </w:tc>
        <w:tc>
          <w:tcPr>
            <w:tcW w:w="915" w:type="dxa"/>
            <w:tcBorders>
              <w:tl2br w:val="nil"/>
              <w:tr2bl w:val="nil"/>
            </w:tcBorders>
            <w:vAlign w:val="center"/>
          </w:tcPr>
          <w:p w14:paraId="00D6CBAF">
            <w:pPr>
              <w:keepNext w:val="0"/>
              <w:keepLines w:val="0"/>
              <w:widowControl/>
              <w:suppressLineNumbers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模块七</w:t>
            </w:r>
          </w:p>
        </w:tc>
        <w:tc>
          <w:tcPr>
            <w:tcW w:w="735" w:type="dxa"/>
            <w:tcBorders>
              <w:tl2br w:val="nil"/>
              <w:tr2bl w:val="nil"/>
            </w:tcBorders>
            <w:vAlign w:val="center"/>
          </w:tcPr>
          <w:p w14:paraId="2F6D7B61">
            <w:pPr>
              <w:spacing w:line="240" w:lineRule="auto"/>
              <w:ind w:left="0" w:leftChars="0" w:firstLine="0" w:firstLineChars="0"/>
              <w:jc w:val="left"/>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旅游保险法规制度</w:t>
            </w:r>
          </w:p>
        </w:tc>
        <w:tc>
          <w:tcPr>
            <w:tcW w:w="2186" w:type="dxa"/>
            <w:tcBorders>
              <w:tl2br w:val="nil"/>
              <w:tr2bl w:val="nil"/>
            </w:tcBorders>
            <w:vAlign w:val="center"/>
          </w:tcPr>
          <w:p w14:paraId="3BF7A400">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①了解保险的基本概念、性质、功能和作用；掌握保险的基本原则。</w:t>
            </w:r>
          </w:p>
          <w:p w14:paraId="7FB03E55">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②掌握旅游保险合同的订立、效力、履行、变更与解除等内容。</w:t>
            </w:r>
          </w:p>
          <w:p w14:paraId="7565F18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textAlignment w:val="auto"/>
              <w:rPr>
                <w:rFonts w:hint="eastAsia" w:ascii="仿宋" w:hAnsi="仿宋" w:eastAsia="仿宋" w:cs="仿宋"/>
                <w:kern w:val="0"/>
                <w:sz w:val="24"/>
                <w:szCs w:val="24"/>
                <w:lang w:val="en-US" w:eastAsia="zh-CN" w:bidi="ar-SA"/>
              </w:rPr>
            </w:pPr>
          </w:p>
        </w:tc>
        <w:tc>
          <w:tcPr>
            <w:tcW w:w="967" w:type="dxa"/>
            <w:tcBorders>
              <w:tl2br w:val="nil"/>
              <w:tr2bl w:val="nil"/>
            </w:tcBorders>
            <w:vAlign w:val="top"/>
          </w:tcPr>
          <w:p w14:paraId="045D7D2D">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470824D9">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6D633471">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2A23905F">
            <w:pPr>
              <w:keepNext w:val="0"/>
              <w:keepLines w:val="0"/>
              <w:widowControl/>
              <w:suppressLineNumbers w:val="0"/>
              <w:spacing w:line="240" w:lineRule="auto"/>
              <w:ind w:left="0" w:leftChars="0" w:firstLine="0" w:firstLineChars="0"/>
              <w:jc w:val="both"/>
              <w:textAlignment w:val="center"/>
              <w:rPr>
                <w:rFonts w:hint="default"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3008" w:type="dxa"/>
            <w:tcBorders>
              <w:tl2br w:val="nil"/>
              <w:tr2bl w:val="nil"/>
            </w:tcBorders>
            <w:vAlign w:val="center"/>
          </w:tcPr>
          <w:p w14:paraId="4A04B5F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安全责任意识元素&amp;法治观念元素</w:t>
            </w:r>
            <w:r>
              <w:rPr>
                <w:rFonts w:hint="default" w:ascii="仿宋" w:hAnsi="仿宋" w:eastAsia="仿宋" w:cs="仿宋"/>
                <w:b/>
                <w:bCs/>
                <w:kern w:val="0"/>
                <w:sz w:val="24"/>
                <w:szCs w:val="24"/>
                <w:lang w:val="en-US" w:eastAsia="zh-CN"/>
              </w:rPr>
              <w:t xml:space="preserve"> </w:t>
            </w:r>
            <w:r>
              <w:rPr>
                <w:rFonts w:hint="eastAsia" w:ascii="仿宋" w:hAnsi="仿宋" w:eastAsia="仿宋" w:cs="仿宋"/>
                <w:b/>
                <w:bCs/>
                <w:kern w:val="0"/>
                <w:sz w:val="24"/>
                <w:szCs w:val="24"/>
                <w:lang w:val="en-US" w:eastAsia="zh-CN"/>
              </w:rPr>
              <w:t>&amp;风险防范意识元素</w:t>
            </w:r>
            <w:r>
              <w:rPr>
                <w:rFonts w:hint="default" w:ascii="仿宋" w:hAnsi="仿宋" w:eastAsia="仿宋" w:cs="仿宋"/>
                <w:b/>
                <w:bCs/>
                <w:kern w:val="0"/>
                <w:sz w:val="24"/>
                <w:szCs w:val="24"/>
                <w:lang w:val="en-US" w:eastAsia="zh-CN"/>
              </w:rPr>
              <w:t xml:space="preserve"> </w:t>
            </w:r>
            <w:r>
              <w:rPr>
                <w:rFonts w:hint="eastAsia" w:ascii="仿宋" w:hAnsi="仿宋" w:eastAsia="仿宋" w:cs="仿宋"/>
                <w:b/>
                <w:bCs/>
                <w:kern w:val="0"/>
                <w:sz w:val="24"/>
                <w:szCs w:val="24"/>
                <w:lang w:val="en-US" w:eastAsia="zh-CN"/>
              </w:rPr>
              <w:t>&amp;道德品质与职业操守元素</w:t>
            </w:r>
          </w:p>
          <w:p w14:paraId="2B79E2F8">
            <w:pPr>
              <w:keepNext w:val="0"/>
              <w:keepLines w:val="0"/>
              <w:widowControl/>
              <w:numPr>
                <w:ilvl w:val="0"/>
                <w:numId w:val="0"/>
              </w:numPr>
              <w:suppressLineNumbers w:val="0"/>
              <w:pBdr>
                <w:left w:val="none" w:color="auto" w:sz="0" w:space="0"/>
              </w:pBdr>
              <w:spacing w:before="48" w:beforeAutospacing="0" w:after="0" w:afterAutospacing="1" w:line="336" w:lineRule="atLeast"/>
              <w:jc w:val="left"/>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乡村振兴领域，多地试点 “乡村旅游保险”，如贵州针对苗寨民宿推出 “自然灾害 + 经营风险” 综合保险，既落实 “巩固脱贫攻坚成果” 要求，又通过保险机制提升乡村旅游抗风险能力。</w:t>
            </w:r>
          </w:p>
          <w:p w14:paraId="184C1CC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bidi="ar-SA"/>
              </w:rPr>
            </w:pPr>
          </w:p>
        </w:tc>
        <w:tc>
          <w:tcPr>
            <w:tcW w:w="441" w:type="dxa"/>
            <w:tcBorders>
              <w:tl2br w:val="nil"/>
              <w:tr2bl w:val="nil"/>
            </w:tcBorders>
            <w:vAlign w:val="center"/>
          </w:tcPr>
          <w:p w14:paraId="05DB9C50">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4</w:t>
            </w:r>
          </w:p>
        </w:tc>
      </w:tr>
      <w:tr w14:paraId="305933A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0" w:type="dxa"/>
            <w:tcBorders>
              <w:tl2br w:val="nil"/>
              <w:tr2bl w:val="nil"/>
            </w:tcBorders>
            <w:vAlign w:val="center"/>
          </w:tcPr>
          <w:p w14:paraId="7A00343C">
            <w:pPr>
              <w:spacing w:line="240" w:lineRule="auto"/>
              <w:ind w:firstLine="0" w:firstLineChars="0"/>
              <w:rPr>
                <w:rFonts w:hint="default" w:ascii="仿宋" w:hAnsi="仿宋" w:eastAsia="仿宋" w:cs="仿宋"/>
                <w:sz w:val="24"/>
                <w:szCs w:val="24"/>
                <w:lang w:val="en-US" w:eastAsia="zh-CN"/>
              </w:rPr>
            </w:pPr>
            <w:bookmarkStart w:id="34" w:name="_Toc502337267"/>
            <w:bookmarkStart w:id="35" w:name="_Toc20287"/>
            <w:r>
              <w:rPr>
                <w:rFonts w:hint="eastAsia" w:ascii="仿宋" w:hAnsi="仿宋" w:eastAsia="仿宋" w:cs="仿宋"/>
                <w:sz w:val="24"/>
                <w:szCs w:val="24"/>
                <w:lang w:val="en-US" w:eastAsia="zh-CN"/>
              </w:rPr>
              <w:t>8</w:t>
            </w:r>
          </w:p>
        </w:tc>
        <w:tc>
          <w:tcPr>
            <w:tcW w:w="915" w:type="dxa"/>
            <w:tcBorders>
              <w:tl2br w:val="nil"/>
              <w:tr2bl w:val="nil"/>
            </w:tcBorders>
            <w:vAlign w:val="center"/>
          </w:tcPr>
          <w:p w14:paraId="3FD5153B">
            <w:pPr>
              <w:keepNext w:val="0"/>
              <w:keepLines w:val="0"/>
              <w:widowControl/>
              <w:suppressLineNumbers w:val="0"/>
              <w:spacing w:before="0" w:beforeAutospacing="0" w:after="0" w:afterAutospacing="0" w:line="240" w:lineRule="auto"/>
              <w:ind w:left="0" w:leftChars="0" w:right="0" w:righ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模块八</w:t>
            </w:r>
          </w:p>
        </w:tc>
        <w:tc>
          <w:tcPr>
            <w:tcW w:w="735" w:type="dxa"/>
            <w:tcBorders>
              <w:tl2br w:val="nil"/>
              <w:tr2bl w:val="nil"/>
            </w:tcBorders>
            <w:vAlign w:val="center"/>
          </w:tcPr>
          <w:p w14:paraId="129BB3D9">
            <w:pPr>
              <w:spacing w:line="240" w:lineRule="auto"/>
              <w:ind w:left="0" w:leftChars="0" w:firstLine="0" w:firstLineChars="0"/>
              <w:jc w:val="left"/>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bidi="ar-SA"/>
              </w:rPr>
              <w:t>旅游投诉管理法规制度</w:t>
            </w:r>
          </w:p>
        </w:tc>
        <w:tc>
          <w:tcPr>
            <w:tcW w:w="2186" w:type="dxa"/>
            <w:tcBorders>
              <w:tl2br w:val="nil"/>
              <w:tr2bl w:val="nil"/>
            </w:tcBorders>
            <w:vAlign w:val="center"/>
          </w:tcPr>
          <w:p w14:paraId="50CE39AC">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ascii="Segoe UI" w:hAnsi="Segoe UI" w:eastAsia="Segoe UI" w:cs="Segoe UI"/>
                <w:i w:val="0"/>
                <w:iCs w:val="0"/>
                <w:caps w:val="0"/>
                <w:spacing w:val="0"/>
                <w:sz w:val="19"/>
                <w:szCs w:val="19"/>
                <w:shd w:val="clear" w:fill="FFFFFF"/>
              </w:rPr>
            </w:pPr>
            <w:r>
              <w:rPr>
                <w:rFonts w:hint="eastAsia" w:ascii="仿宋" w:hAnsi="仿宋" w:eastAsia="仿宋" w:cs="仿宋"/>
                <w:kern w:val="0"/>
                <w:sz w:val="24"/>
                <w:szCs w:val="24"/>
                <w:lang w:val="en-US" w:eastAsia="zh-CN"/>
              </w:rPr>
              <w:t>①</w:t>
            </w:r>
            <w:r>
              <w:rPr>
                <w:rFonts w:ascii="Segoe UI" w:hAnsi="Segoe UI" w:eastAsia="Segoe UI" w:cs="Segoe UI"/>
                <w:i w:val="0"/>
                <w:iCs w:val="0"/>
                <w:caps w:val="0"/>
                <w:spacing w:val="0"/>
                <w:sz w:val="19"/>
                <w:szCs w:val="19"/>
                <w:shd w:val="clear" w:fill="FFFFFF"/>
              </w:rPr>
              <w:t>了解旅游投诉的常见类型</w:t>
            </w:r>
          </w:p>
          <w:p w14:paraId="26CF27CC">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w:t>
            </w:r>
            <w:r>
              <w:rPr>
                <w:rFonts w:ascii="Segoe UI" w:hAnsi="Segoe UI" w:eastAsia="Segoe UI" w:cs="Segoe UI"/>
                <w:i w:val="0"/>
                <w:iCs w:val="0"/>
                <w:caps w:val="0"/>
                <w:spacing w:val="0"/>
                <w:sz w:val="19"/>
                <w:szCs w:val="19"/>
                <w:shd w:val="clear" w:fill="FFFFFF"/>
              </w:rPr>
              <w:t>掌握旅游投诉处理应遵循的基本原则</w:t>
            </w:r>
          </w:p>
          <w:p w14:paraId="58BA9650">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③熟悉旅游投诉处理的完整流程</w:t>
            </w:r>
          </w:p>
        </w:tc>
        <w:tc>
          <w:tcPr>
            <w:tcW w:w="967" w:type="dxa"/>
            <w:tcBorders>
              <w:tl2br w:val="nil"/>
              <w:tr2bl w:val="nil"/>
            </w:tcBorders>
            <w:vAlign w:val="top"/>
          </w:tcPr>
          <w:p w14:paraId="51D25C61">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29687005">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7A540BAA">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41E2D629">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3008" w:type="dxa"/>
            <w:tcBorders>
              <w:tl2br w:val="nil"/>
              <w:tr2bl w:val="nil"/>
            </w:tcBorders>
            <w:vAlign w:val="center"/>
          </w:tcPr>
          <w:p w14:paraId="0D7F370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资源保护与可持续发展元素</w:t>
            </w:r>
            <w:r>
              <w:rPr>
                <w:rFonts w:hint="default" w:ascii="仿宋" w:hAnsi="仿宋" w:eastAsia="仿宋" w:cs="仿宋"/>
                <w:b/>
                <w:bCs/>
                <w:kern w:val="0"/>
                <w:sz w:val="24"/>
                <w:szCs w:val="24"/>
                <w:lang w:val="en-US" w:eastAsia="zh-CN"/>
              </w:rPr>
              <w:t xml:space="preserve"> </w:t>
            </w:r>
            <w:r>
              <w:rPr>
                <w:rFonts w:hint="eastAsia" w:ascii="仿宋" w:hAnsi="仿宋" w:eastAsia="仿宋" w:cs="仿宋"/>
                <w:b/>
                <w:bCs/>
                <w:kern w:val="0"/>
                <w:sz w:val="24"/>
                <w:szCs w:val="24"/>
                <w:lang w:val="en-US" w:eastAsia="zh-CN"/>
              </w:rPr>
              <w:t>&amp;法治观念与规则意识元素&amp;家国情怀与文化自信元素</w:t>
            </w:r>
          </w:p>
          <w:p w14:paraId="53D2332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《旅游投诉处理办法》第四条规定，对违法违规行为依法处罚或移送司法机关，</w:t>
            </w:r>
          </w:p>
        </w:tc>
        <w:tc>
          <w:tcPr>
            <w:tcW w:w="441" w:type="dxa"/>
            <w:tcBorders>
              <w:tl2br w:val="nil"/>
              <w:tr2bl w:val="nil"/>
            </w:tcBorders>
            <w:vAlign w:val="center"/>
          </w:tcPr>
          <w:p w14:paraId="1B126FE1">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4</w:t>
            </w:r>
          </w:p>
        </w:tc>
      </w:tr>
      <w:tr w14:paraId="7F3474B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0" w:type="dxa"/>
            <w:tcBorders>
              <w:tl2br w:val="nil"/>
              <w:tr2bl w:val="nil"/>
            </w:tcBorders>
            <w:vAlign w:val="center"/>
          </w:tcPr>
          <w:p w14:paraId="14C0B0BE">
            <w:pPr>
              <w:spacing w:line="240" w:lineRule="auto"/>
              <w:ind w:firstLine="0" w:firstLineChars="0"/>
              <w:rPr>
                <w:rFonts w:hint="eastAsia" w:ascii="仿宋" w:hAnsi="仿宋" w:eastAsia="仿宋" w:cs="仿宋"/>
                <w:sz w:val="24"/>
                <w:szCs w:val="24"/>
                <w:lang w:val="en-US" w:eastAsia="zh-CN"/>
              </w:rPr>
            </w:pPr>
            <w:bookmarkStart w:id="36" w:name="_Toc17537"/>
          </w:p>
        </w:tc>
        <w:tc>
          <w:tcPr>
            <w:tcW w:w="915" w:type="dxa"/>
            <w:tcBorders>
              <w:tl2br w:val="nil"/>
              <w:tr2bl w:val="nil"/>
            </w:tcBorders>
            <w:vAlign w:val="center"/>
          </w:tcPr>
          <w:p w14:paraId="6CAAE5CE">
            <w:pPr>
              <w:keepNext w:val="0"/>
              <w:keepLines w:val="0"/>
              <w:widowControl/>
              <w:suppressLineNumbers w:val="0"/>
              <w:spacing w:before="0" w:beforeAutospacing="0" w:after="0" w:afterAutospacing="0" w:line="240" w:lineRule="auto"/>
              <w:ind w:left="0" w:leftChars="0" w:right="0" w:righ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模块九</w:t>
            </w:r>
          </w:p>
        </w:tc>
        <w:tc>
          <w:tcPr>
            <w:tcW w:w="735" w:type="dxa"/>
            <w:tcBorders>
              <w:tl2br w:val="nil"/>
              <w:tr2bl w:val="nil"/>
            </w:tcBorders>
            <w:vAlign w:val="center"/>
          </w:tcPr>
          <w:p w14:paraId="309E43AD">
            <w:pPr>
              <w:spacing w:line="240" w:lineRule="auto"/>
              <w:ind w:left="0" w:leftChars="0" w:firstLine="0" w:firstLineChars="0"/>
              <w:jc w:val="left"/>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bidi="ar-SA"/>
              </w:rPr>
              <w:t>旅游资源管理法规制度</w:t>
            </w:r>
          </w:p>
        </w:tc>
        <w:tc>
          <w:tcPr>
            <w:tcW w:w="2186" w:type="dxa"/>
            <w:tcBorders>
              <w:tl2br w:val="nil"/>
              <w:tr2bl w:val="nil"/>
            </w:tcBorders>
            <w:vAlign w:val="center"/>
          </w:tcPr>
          <w:p w14:paraId="71D887E3">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①了解旅游资源的概念</w:t>
            </w:r>
          </w:p>
          <w:p w14:paraId="1306C22D">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②了解保护机构的设置及各级旅游行政管理部门的职责</w:t>
            </w:r>
          </w:p>
          <w:p w14:paraId="51534BF2">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Segoe UI" w:hAnsi="Segoe UI" w:eastAsia="Segoe UI" w:cs="Segoe UI"/>
                <w:i w:val="0"/>
                <w:iCs w:val="0"/>
                <w:caps w:val="0"/>
                <w:spacing w:val="0"/>
                <w:sz w:val="19"/>
                <w:szCs w:val="19"/>
                <w:shd w:val="clear" w:fill="FFFFFF"/>
                <w:lang w:val="en-US" w:eastAsia="zh-CN"/>
              </w:rPr>
            </w:pPr>
            <w:r>
              <w:rPr>
                <w:rFonts w:hint="eastAsia" w:ascii="仿宋" w:hAnsi="仿宋" w:eastAsia="仿宋" w:cs="仿宋"/>
                <w:kern w:val="0"/>
                <w:sz w:val="24"/>
                <w:szCs w:val="24"/>
                <w:lang w:val="en-US" w:eastAsia="zh-CN"/>
              </w:rPr>
              <w:t>③掌握旅游资源保护的义务</w:t>
            </w:r>
          </w:p>
        </w:tc>
        <w:tc>
          <w:tcPr>
            <w:tcW w:w="967" w:type="dxa"/>
            <w:tcBorders>
              <w:tl2br w:val="nil"/>
              <w:tr2bl w:val="nil"/>
            </w:tcBorders>
            <w:vAlign w:val="top"/>
          </w:tcPr>
          <w:p w14:paraId="64C03A73">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7C6A54A9">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202FD652">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71B2C3F7">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3008" w:type="dxa"/>
            <w:tcBorders>
              <w:tl2br w:val="nil"/>
              <w:tr2bl w:val="nil"/>
            </w:tcBorders>
            <w:vAlign w:val="center"/>
          </w:tcPr>
          <w:p w14:paraId="513885F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Fonts w:hint="default" w:ascii="仿宋" w:hAnsi="仿宋" w:eastAsia="仿宋" w:cs="仿宋"/>
                <w:b/>
                <w:bCs/>
                <w:kern w:val="0"/>
                <w:sz w:val="24"/>
                <w:szCs w:val="24"/>
                <w:lang w:val="en-US" w:eastAsia="zh-CN"/>
              </w:rPr>
            </w:pPr>
            <w:r>
              <w:rPr>
                <w:rFonts w:hint="default" w:ascii="仿宋" w:hAnsi="仿宋" w:eastAsia="仿宋" w:cs="仿宋"/>
                <w:b/>
                <w:bCs/>
                <w:kern w:val="0"/>
                <w:sz w:val="24"/>
                <w:szCs w:val="24"/>
                <w:lang w:val="en-US" w:eastAsia="zh-CN"/>
              </w:rPr>
              <w:t>坚持党的领导</w:t>
            </w:r>
            <w:r>
              <w:rPr>
                <w:rFonts w:hint="eastAsia" w:ascii="仿宋" w:hAnsi="仿宋" w:eastAsia="仿宋" w:cs="仿宋"/>
                <w:b/>
                <w:bCs/>
                <w:kern w:val="0"/>
                <w:sz w:val="24"/>
                <w:szCs w:val="24"/>
                <w:lang w:val="en-US" w:eastAsia="zh-CN"/>
              </w:rPr>
              <w:t>&amp;</w:t>
            </w:r>
            <w:r>
              <w:rPr>
                <w:rFonts w:hint="default" w:ascii="仿宋" w:hAnsi="仿宋" w:eastAsia="仿宋" w:cs="仿宋"/>
                <w:b/>
                <w:bCs/>
                <w:kern w:val="0"/>
                <w:sz w:val="24"/>
                <w:szCs w:val="24"/>
                <w:lang w:val="en-US" w:eastAsia="zh-CN"/>
              </w:rPr>
              <w:t>生态文明建设</w:t>
            </w:r>
            <w:r>
              <w:rPr>
                <w:rFonts w:hint="eastAsia" w:ascii="仿宋" w:hAnsi="仿宋" w:eastAsia="仿宋" w:cs="仿宋"/>
                <w:b/>
                <w:bCs/>
                <w:kern w:val="0"/>
                <w:sz w:val="24"/>
                <w:szCs w:val="24"/>
                <w:lang w:val="en-US" w:eastAsia="zh-CN"/>
              </w:rPr>
              <w:t>&amp;</w:t>
            </w:r>
            <w:r>
              <w:rPr>
                <w:rFonts w:hint="default" w:ascii="仿宋" w:hAnsi="仿宋" w:eastAsia="仿宋" w:cs="仿宋"/>
                <w:b/>
                <w:bCs/>
                <w:kern w:val="0"/>
                <w:sz w:val="24"/>
                <w:szCs w:val="24"/>
                <w:lang w:val="en-US" w:eastAsia="zh-CN"/>
              </w:rPr>
              <w:t>文化自信培育</w:t>
            </w:r>
          </w:p>
          <w:p w14:paraId="1640227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引用《旅游法》第四条 “社会效益、经济效益、生态效益相统一” 原则，对比西方国家单纯追求商业利益的开发模式，凸显我国 “党领导下的生态优先” 制度优势，强调绿水青山就是金山银山。</w:t>
            </w:r>
          </w:p>
          <w:p w14:paraId="0C4F61D0">
            <w:pPr>
              <w:pStyle w:val="4"/>
              <w:keepNext w:val="0"/>
              <w:keepLines w:val="0"/>
              <w:widowControl/>
              <w:suppressLineNumbers w:val="0"/>
              <w:pBdr>
                <w:bottom w:val="none" w:color="auto" w:sz="0" w:space="0"/>
              </w:pBdr>
              <w:shd w:val="clear" w:fill="FFFFFF"/>
              <w:spacing w:before="336" w:beforeAutospacing="0" w:after="144" w:afterAutospacing="0" w:line="336" w:lineRule="atLeast"/>
              <w:ind w:left="0" w:firstLine="0"/>
              <w:rPr>
                <w:rFonts w:ascii="Segoe UI" w:hAnsi="Segoe UI" w:eastAsia="Segoe UI" w:cs="Segoe UI"/>
                <w:b/>
                <w:bCs/>
                <w:i w:val="0"/>
                <w:iCs w:val="0"/>
                <w:caps w:val="0"/>
                <w:color w:val="000000"/>
                <w:spacing w:val="0"/>
                <w:sz w:val="21"/>
                <w:szCs w:val="21"/>
              </w:rPr>
            </w:pPr>
            <w:bookmarkStart w:id="56" w:name="_GoBack"/>
            <w:bookmarkEnd w:id="56"/>
          </w:p>
          <w:p w14:paraId="78B49A2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p>
        </w:tc>
        <w:tc>
          <w:tcPr>
            <w:tcW w:w="441" w:type="dxa"/>
            <w:tcBorders>
              <w:tl2br w:val="nil"/>
              <w:tr2bl w:val="nil"/>
            </w:tcBorders>
            <w:vAlign w:val="center"/>
          </w:tcPr>
          <w:p w14:paraId="536B22DB">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4</w:t>
            </w:r>
          </w:p>
        </w:tc>
      </w:tr>
      <w:tr w14:paraId="35DD1E4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0" w:type="dxa"/>
            <w:tcBorders>
              <w:tl2br w:val="nil"/>
              <w:tr2bl w:val="nil"/>
            </w:tcBorders>
            <w:vAlign w:val="center"/>
          </w:tcPr>
          <w:p w14:paraId="6358D834">
            <w:pPr>
              <w:spacing w:line="240" w:lineRule="auto"/>
              <w:ind w:firstLine="0" w:firstLineChars="0"/>
              <w:rPr>
                <w:rFonts w:hint="eastAsia" w:ascii="仿宋" w:hAnsi="仿宋" w:eastAsia="仿宋" w:cs="仿宋"/>
                <w:sz w:val="24"/>
                <w:szCs w:val="24"/>
                <w:lang w:val="en-US" w:eastAsia="zh-CN"/>
              </w:rPr>
            </w:pPr>
          </w:p>
        </w:tc>
        <w:tc>
          <w:tcPr>
            <w:tcW w:w="915" w:type="dxa"/>
            <w:tcBorders>
              <w:tl2br w:val="nil"/>
              <w:tr2bl w:val="nil"/>
            </w:tcBorders>
            <w:vAlign w:val="center"/>
          </w:tcPr>
          <w:p w14:paraId="6CCE12A9">
            <w:pPr>
              <w:keepNext w:val="0"/>
              <w:keepLines w:val="0"/>
              <w:widowControl/>
              <w:suppressLineNumbers w:val="0"/>
              <w:spacing w:before="0" w:beforeAutospacing="0" w:after="0" w:afterAutospacing="0" w:line="240" w:lineRule="auto"/>
              <w:ind w:left="0" w:leftChars="0" w:right="0" w:righ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模块十</w:t>
            </w:r>
          </w:p>
        </w:tc>
        <w:tc>
          <w:tcPr>
            <w:tcW w:w="735" w:type="dxa"/>
            <w:tcBorders>
              <w:tl2br w:val="nil"/>
              <w:tr2bl w:val="nil"/>
            </w:tcBorders>
            <w:vAlign w:val="center"/>
          </w:tcPr>
          <w:p w14:paraId="21EE201E">
            <w:pPr>
              <w:spacing w:line="240" w:lineRule="auto"/>
              <w:ind w:left="0" w:leftChars="0" w:firstLine="0" w:firstLineChars="0"/>
              <w:jc w:val="left"/>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bidi="ar-SA"/>
              </w:rPr>
              <w:t>旅游者出境入境管理法规制度</w:t>
            </w:r>
          </w:p>
        </w:tc>
        <w:tc>
          <w:tcPr>
            <w:tcW w:w="2186" w:type="dxa"/>
            <w:tcBorders>
              <w:tl2br w:val="nil"/>
              <w:tr2bl w:val="nil"/>
            </w:tcBorders>
            <w:vAlign w:val="center"/>
          </w:tcPr>
          <w:p w14:paraId="48A86033">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①了解其立法目的、适用范围、基本原则</w:t>
            </w:r>
          </w:p>
          <w:p w14:paraId="4E4B660E">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②掌握中国公民出境入境需持有的有效证件</w:t>
            </w:r>
          </w:p>
          <w:p w14:paraId="2C29F6E6">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Segoe UI" w:hAnsi="Segoe UI" w:eastAsia="Segoe UI" w:cs="Segoe UI"/>
                <w:i w:val="0"/>
                <w:iCs w:val="0"/>
                <w:caps w:val="0"/>
                <w:spacing w:val="0"/>
                <w:sz w:val="19"/>
                <w:szCs w:val="19"/>
                <w:shd w:val="clear" w:fill="FFFFFF"/>
                <w:lang w:val="en-US" w:eastAsia="zh-CN"/>
              </w:rPr>
            </w:pPr>
            <w:r>
              <w:rPr>
                <w:rFonts w:hint="eastAsia" w:ascii="仿宋" w:hAnsi="仿宋" w:eastAsia="仿宋" w:cs="仿宋"/>
                <w:kern w:val="0"/>
                <w:sz w:val="24"/>
                <w:szCs w:val="24"/>
                <w:lang w:val="en-US" w:eastAsia="zh-CN"/>
              </w:rPr>
              <w:t>③了解外国旅游者入境需持有的有效护照和签证等证件</w:t>
            </w:r>
          </w:p>
        </w:tc>
        <w:tc>
          <w:tcPr>
            <w:tcW w:w="967" w:type="dxa"/>
            <w:tcBorders>
              <w:tl2br w:val="nil"/>
              <w:tr2bl w:val="nil"/>
            </w:tcBorders>
            <w:vAlign w:val="top"/>
          </w:tcPr>
          <w:p w14:paraId="21A48728">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5625B7EC">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2294D925">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0530CCF4">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3008" w:type="dxa"/>
            <w:tcBorders>
              <w:tl2br w:val="nil"/>
              <w:tr2bl w:val="nil"/>
            </w:tcBorders>
            <w:vAlign w:val="center"/>
          </w:tcPr>
          <w:p w14:paraId="333C743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Fonts w:hint="default" w:ascii="仿宋" w:hAnsi="仿宋" w:eastAsia="仿宋" w:cs="仿宋"/>
                <w:b/>
                <w:bCs/>
                <w:kern w:val="0"/>
                <w:sz w:val="24"/>
                <w:szCs w:val="24"/>
                <w:lang w:val="en-US" w:eastAsia="zh-CN"/>
              </w:rPr>
            </w:pPr>
            <w:r>
              <w:rPr>
                <w:rFonts w:hint="default" w:ascii="仿宋" w:hAnsi="仿宋" w:eastAsia="仿宋" w:cs="仿宋"/>
                <w:b/>
                <w:bCs/>
                <w:kern w:val="0"/>
                <w:sz w:val="24"/>
                <w:szCs w:val="24"/>
                <w:lang w:val="en-US" w:eastAsia="zh-CN"/>
              </w:rPr>
              <w:t>主权意识强化</w:t>
            </w:r>
            <w:r>
              <w:rPr>
                <w:rFonts w:hint="eastAsia" w:ascii="仿宋" w:hAnsi="仿宋" w:eastAsia="仿宋" w:cs="仿宋"/>
                <w:b/>
                <w:bCs/>
                <w:kern w:val="0"/>
                <w:sz w:val="24"/>
                <w:szCs w:val="24"/>
                <w:lang w:val="en-US" w:eastAsia="zh-CN"/>
              </w:rPr>
              <w:t>&amp;</w:t>
            </w:r>
            <w:r>
              <w:rPr>
                <w:rFonts w:hint="default" w:ascii="仿宋" w:hAnsi="仿宋" w:eastAsia="仿宋" w:cs="仿宋"/>
                <w:b/>
                <w:bCs/>
                <w:kern w:val="0"/>
                <w:sz w:val="24"/>
                <w:szCs w:val="24"/>
                <w:lang w:val="en-US" w:eastAsia="zh-CN"/>
              </w:rPr>
              <w:t>领土完整保障</w:t>
            </w:r>
            <w:r>
              <w:rPr>
                <w:rFonts w:hint="eastAsia" w:ascii="仿宋" w:hAnsi="仿宋" w:eastAsia="仿宋" w:cs="仿宋"/>
                <w:b/>
                <w:bCs/>
                <w:kern w:val="0"/>
                <w:sz w:val="24"/>
                <w:szCs w:val="24"/>
                <w:lang w:val="en-US" w:eastAsia="zh-CN"/>
              </w:rPr>
              <w:t>&amp;</w:t>
            </w:r>
            <w:r>
              <w:rPr>
                <w:rFonts w:hint="default" w:ascii="仿宋" w:hAnsi="仿宋" w:eastAsia="仿宋" w:cs="仿宋"/>
                <w:b/>
                <w:bCs/>
                <w:kern w:val="0"/>
                <w:sz w:val="24"/>
                <w:szCs w:val="24"/>
                <w:lang w:val="en-US" w:eastAsia="zh-CN"/>
              </w:rPr>
              <w:t>风险防控机制</w:t>
            </w:r>
            <w:r>
              <w:rPr>
                <w:rFonts w:hint="eastAsia" w:ascii="仿宋" w:hAnsi="仿宋" w:eastAsia="仿宋" w:cs="仿宋"/>
                <w:b/>
                <w:bCs/>
                <w:kern w:val="0"/>
                <w:sz w:val="24"/>
                <w:szCs w:val="24"/>
                <w:lang w:val="en-US" w:eastAsia="zh-CN"/>
              </w:rPr>
              <w:t>&amp;</w:t>
            </w:r>
            <w:r>
              <w:rPr>
                <w:rFonts w:hint="default" w:ascii="仿宋" w:hAnsi="仿宋" w:eastAsia="仿宋" w:cs="仿宋"/>
                <w:b/>
                <w:bCs/>
                <w:kern w:val="0"/>
                <w:sz w:val="24"/>
                <w:szCs w:val="24"/>
                <w:lang w:val="en-US" w:eastAsia="zh-CN"/>
              </w:rPr>
              <w:t>诚信建设</w:t>
            </w:r>
          </w:p>
          <w:p w14:paraId="78D808B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Style w:val="18"/>
                <w:rFonts w:hint="eastAsia" w:ascii="Segoe UI" w:hAnsi="Segoe UI" w:eastAsia="Segoe UI" w:cs="Segoe UI"/>
                <w:b/>
                <w:bCs/>
                <w:i w:val="0"/>
                <w:iCs w:val="0"/>
                <w:caps w:val="0"/>
                <w:color w:val="000000"/>
                <w:spacing w:val="0"/>
                <w:sz w:val="19"/>
                <w:szCs w:val="19"/>
                <w:shd w:val="clear" w:fill="FFFFFF"/>
                <w:lang w:val="en-US" w:eastAsia="zh-CN"/>
              </w:rPr>
            </w:pPr>
            <w:r>
              <w:rPr>
                <w:rFonts w:hint="eastAsia" w:ascii="仿宋" w:hAnsi="仿宋" w:eastAsia="仿宋" w:cs="仿宋"/>
                <w:kern w:val="0"/>
                <w:sz w:val="24"/>
                <w:szCs w:val="24"/>
                <w:lang w:val="en-US" w:eastAsia="zh-CN"/>
              </w:rPr>
              <w:t>《出境入境管理法》第一条明确 “维护中华人民共和国的主权、安全和社会秩序” 为立法宗旨，如要求中国公民 “不得有危害祖国安全、荣誉和利益的行为”</w:t>
            </w:r>
            <w:r>
              <w:rPr>
                <w:rFonts w:hint="default" w:ascii="仿宋" w:hAnsi="仿宋" w:eastAsia="仿宋" w:cs="仿宋"/>
                <w:kern w:val="0"/>
                <w:sz w:val="24"/>
                <w:szCs w:val="24"/>
                <w:lang w:val="en-US" w:eastAsia="zh-CN"/>
              </w:rPr>
              <w:t>。</w:t>
            </w:r>
          </w:p>
        </w:tc>
        <w:tc>
          <w:tcPr>
            <w:tcW w:w="441" w:type="dxa"/>
            <w:tcBorders>
              <w:tl2br w:val="nil"/>
              <w:tr2bl w:val="nil"/>
            </w:tcBorders>
            <w:vAlign w:val="center"/>
          </w:tcPr>
          <w:p w14:paraId="527A848D">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4</w:t>
            </w:r>
          </w:p>
        </w:tc>
      </w:tr>
      <w:tr w14:paraId="72095C1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0" w:type="dxa"/>
            <w:tcBorders>
              <w:tl2br w:val="nil"/>
              <w:tr2bl w:val="nil"/>
            </w:tcBorders>
            <w:vAlign w:val="center"/>
          </w:tcPr>
          <w:p w14:paraId="4A1656DD">
            <w:pPr>
              <w:spacing w:line="240" w:lineRule="auto"/>
              <w:ind w:firstLine="0" w:firstLineChars="0"/>
              <w:rPr>
                <w:rFonts w:hint="eastAsia" w:ascii="仿宋" w:hAnsi="仿宋" w:eastAsia="仿宋" w:cs="仿宋"/>
                <w:sz w:val="24"/>
                <w:szCs w:val="24"/>
                <w:lang w:val="en-US" w:eastAsia="zh-CN"/>
              </w:rPr>
            </w:pPr>
          </w:p>
        </w:tc>
        <w:tc>
          <w:tcPr>
            <w:tcW w:w="915" w:type="dxa"/>
            <w:tcBorders>
              <w:tl2br w:val="nil"/>
              <w:tr2bl w:val="nil"/>
            </w:tcBorders>
            <w:vAlign w:val="center"/>
          </w:tcPr>
          <w:p w14:paraId="53BC7C2A">
            <w:pPr>
              <w:keepNext w:val="0"/>
              <w:keepLines w:val="0"/>
              <w:widowControl/>
              <w:suppressLineNumbers w:val="0"/>
              <w:spacing w:before="0" w:beforeAutospacing="0" w:after="0" w:afterAutospacing="0" w:line="240" w:lineRule="auto"/>
              <w:ind w:left="0" w:leftChars="0" w:right="0" w:righ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模块十一</w:t>
            </w:r>
          </w:p>
        </w:tc>
        <w:tc>
          <w:tcPr>
            <w:tcW w:w="735" w:type="dxa"/>
            <w:tcBorders>
              <w:tl2br w:val="nil"/>
              <w:tr2bl w:val="nil"/>
            </w:tcBorders>
            <w:vAlign w:val="center"/>
          </w:tcPr>
          <w:p w14:paraId="34523D6A">
            <w:pPr>
              <w:spacing w:line="240" w:lineRule="auto"/>
              <w:ind w:left="0" w:leftChars="0" w:firstLine="0" w:firstLineChars="0"/>
              <w:jc w:val="left"/>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bidi="ar-SA"/>
              </w:rPr>
              <w:t>旅游消费者权益保护法律制度</w:t>
            </w:r>
          </w:p>
        </w:tc>
        <w:tc>
          <w:tcPr>
            <w:tcW w:w="2186" w:type="dxa"/>
            <w:tcBorders>
              <w:tl2br w:val="nil"/>
              <w:tr2bl w:val="nil"/>
            </w:tcBorders>
            <w:vAlign w:val="center"/>
          </w:tcPr>
          <w:p w14:paraId="03802F81">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①了解国家和社会对旅游消费者权益保护的多种机制</w:t>
            </w:r>
          </w:p>
          <w:p w14:paraId="497E976E">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②掌握司法途径中旅游消费者如何通过诉讼方式维护自身权益</w:t>
            </w:r>
          </w:p>
          <w:p w14:paraId="30D091C8">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Segoe UI" w:hAnsi="Segoe UI" w:eastAsia="Segoe UI" w:cs="Segoe UI"/>
                <w:i w:val="0"/>
                <w:iCs w:val="0"/>
                <w:caps w:val="0"/>
                <w:spacing w:val="0"/>
                <w:sz w:val="19"/>
                <w:szCs w:val="19"/>
                <w:shd w:val="clear" w:fill="FFFFFF"/>
                <w:lang w:val="en-US" w:eastAsia="zh-CN"/>
              </w:rPr>
            </w:pPr>
            <w:r>
              <w:rPr>
                <w:rFonts w:hint="eastAsia" w:ascii="仿宋" w:hAnsi="仿宋" w:eastAsia="仿宋" w:cs="仿宋"/>
                <w:kern w:val="0"/>
                <w:sz w:val="24"/>
                <w:szCs w:val="24"/>
                <w:lang w:val="en-US" w:eastAsia="zh-CN"/>
              </w:rPr>
              <w:t>③明确消费者协会在保护旅游消费者权益方面的职能和作用</w:t>
            </w:r>
          </w:p>
        </w:tc>
        <w:tc>
          <w:tcPr>
            <w:tcW w:w="967" w:type="dxa"/>
            <w:tcBorders>
              <w:tl2br w:val="nil"/>
              <w:tr2bl w:val="nil"/>
            </w:tcBorders>
            <w:vAlign w:val="top"/>
          </w:tcPr>
          <w:p w14:paraId="2EF1FB7D">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784FF01A">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5481B842">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5375E05F">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3008" w:type="dxa"/>
            <w:tcBorders>
              <w:tl2br w:val="nil"/>
              <w:tr2bl w:val="nil"/>
            </w:tcBorders>
            <w:vAlign w:val="center"/>
          </w:tcPr>
          <w:p w14:paraId="6C884E3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Fonts w:hint="eastAsia" w:ascii="仿宋" w:hAnsi="仿宋" w:eastAsia="仿宋" w:cs="仿宋"/>
                <w:b/>
                <w:bCs/>
                <w:kern w:val="0"/>
                <w:sz w:val="24"/>
                <w:szCs w:val="24"/>
                <w:lang w:val="en-US" w:eastAsia="zh-CN"/>
              </w:rPr>
            </w:pPr>
            <w:r>
              <w:rPr>
                <w:rFonts w:hint="default" w:ascii="仿宋" w:hAnsi="仿宋" w:eastAsia="仿宋" w:cs="仿宋"/>
                <w:b/>
                <w:bCs/>
                <w:kern w:val="0"/>
                <w:sz w:val="24"/>
                <w:szCs w:val="24"/>
                <w:lang w:val="en-US" w:eastAsia="zh-CN"/>
              </w:rPr>
              <w:t>契约精神</w:t>
            </w:r>
            <w:r>
              <w:rPr>
                <w:rFonts w:hint="eastAsia" w:ascii="仿宋" w:hAnsi="仿宋" w:eastAsia="仿宋" w:cs="仿宋"/>
                <w:b/>
                <w:bCs/>
                <w:kern w:val="0"/>
                <w:sz w:val="24"/>
                <w:szCs w:val="24"/>
                <w:lang w:val="en-US" w:eastAsia="zh-CN"/>
              </w:rPr>
              <w:t>&amp;</w:t>
            </w:r>
            <w:r>
              <w:rPr>
                <w:rFonts w:hint="default" w:ascii="仿宋" w:hAnsi="仿宋" w:eastAsia="仿宋" w:cs="仿宋"/>
                <w:b/>
                <w:bCs/>
                <w:kern w:val="0"/>
                <w:sz w:val="24"/>
                <w:szCs w:val="24"/>
                <w:lang w:val="en-US" w:eastAsia="zh-CN"/>
              </w:rPr>
              <w:t>诚信原则</w:t>
            </w:r>
            <w:r>
              <w:rPr>
                <w:rFonts w:hint="eastAsia" w:ascii="仿宋" w:hAnsi="仿宋" w:eastAsia="仿宋" w:cs="仿宋"/>
                <w:b/>
                <w:bCs/>
                <w:kern w:val="0"/>
                <w:sz w:val="24"/>
                <w:szCs w:val="24"/>
                <w:lang w:val="en-US" w:eastAsia="zh-CN"/>
              </w:rPr>
              <w:t>&amp;</w:t>
            </w:r>
            <w:r>
              <w:rPr>
                <w:rFonts w:hint="default" w:ascii="仿宋" w:hAnsi="仿宋" w:eastAsia="仿宋" w:cs="仿宋"/>
                <w:b/>
                <w:bCs/>
                <w:kern w:val="0"/>
                <w:sz w:val="24"/>
                <w:szCs w:val="24"/>
                <w:lang w:val="en-US" w:eastAsia="zh-CN"/>
              </w:rPr>
              <w:t>文明素养</w:t>
            </w:r>
          </w:p>
          <w:p w14:paraId="2D4F4EC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Style w:val="18"/>
                <w:rFonts w:hint="eastAsia" w:ascii="Segoe UI" w:hAnsi="Segoe UI" w:eastAsia="宋体" w:cs="Segoe UI"/>
                <w:b/>
                <w:bCs/>
                <w:i w:val="0"/>
                <w:iCs w:val="0"/>
                <w:caps w:val="0"/>
                <w:color w:val="000000"/>
                <w:spacing w:val="0"/>
                <w:sz w:val="19"/>
                <w:szCs w:val="19"/>
                <w:shd w:val="clear" w:fill="FFFFFF"/>
                <w:lang w:val="en-US" w:eastAsia="zh-CN"/>
              </w:rPr>
            </w:pPr>
            <w:r>
              <w:rPr>
                <w:rFonts w:hint="default" w:ascii="仿宋" w:hAnsi="仿宋" w:eastAsia="仿宋" w:cs="仿宋"/>
                <w:kern w:val="0"/>
                <w:sz w:val="24"/>
                <w:szCs w:val="24"/>
                <w:lang w:val="en-US" w:eastAsia="zh-CN"/>
              </w:rPr>
              <w:t>《消费者权益保护法实施条例》第一条明确 “坚持中国共产党的领导”，将党的宗旨转化为制度遵循。</w:t>
            </w:r>
          </w:p>
        </w:tc>
        <w:tc>
          <w:tcPr>
            <w:tcW w:w="441" w:type="dxa"/>
            <w:tcBorders>
              <w:tl2br w:val="nil"/>
              <w:tr2bl w:val="nil"/>
            </w:tcBorders>
            <w:vAlign w:val="center"/>
          </w:tcPr>
          <w:p w14:paraId="6243306C">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49E03B5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0" w:type="dxa"/>
            <w:tcBorders>
              <w:tl2br w:val="nil"/>
              <w:tr2bl w:val="nil"/>
            </w:tcBorders>
            <w:vAlign w:val="center"/>
          </w:tcPr>
          <w:p w14:paraId="3672D96D">
            <w:pPr>
              <w:spacing w:line="240" w:lineRule="auto"/>
              <w:ind w:firstLine="0" w:firstLineChars="0"/>
              <w:rPr>
                <w:rFonts w:hint="eastAsia" w:ascii="仿宋" w:hAnsi="仿宋" w:eastAsia="仿宋" w:cs="仿宋"/>
                <w:sz w:val="24"/>
                <w:szCs w:val="24"/>
                <w:lang w:val="en-US" w:eastAsia="zh-CN"/>
              </w:rPr>
            </w:pPr>
          </w:p>
        </w:tc>
        <w:tc>
          <w:tcPr>
            <w:tcW w:w="915" w:type="dxa"/>
            <w:tcBorders>
              <w:tl2br w:val="nil"/>
              <w:tr2bl w:val="nil"/>
            </w:tcBorders>
            <w:vAlign w:val="center"/>
          </w:tcPr>
          <w:p w14:paraId="572DF588">
            <w:pPr>
              <w:keepNext w:val="0"/>
              <w:keepLines w:val="0"/>
              <w:widowControl/>
              <w:suppressLineNumbers w:val="0"/>
              <w:spacing w:before="0" w:beforeAutospacing="0" w:after="0" w:afterAutospacing="0" w:line="240" w:lineRule="auto"/>
              <w:ind w:left="0" w:leftChars="0" w:right="0" w:righ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模块十二</w:t>
            </w:r>
          </w:p>
        </w:tc>
        <w:tc>
          <w:tcPr>
            <w:tcW w:w="735" w:type="dxa"/>
            <w:tcBorders>
              <w:tl2br w:val="nil"/>
              <w:tr2bl w:val="nil"/>
            </w:tcBorders>
            <w:vAlign w:val="center"/>
          </w:tcPr>
          <w:p w14:paraId="290C8E4E">
            <w:pPr>
              <w:spacing w:line="240" w:lineRule="auto"/>
              <w:ind w:left="0" w:leftChars="0" w:firstLine="0" w:firstLineChars="0"/>
              <w:jc w:val="left"/>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bidi="ar-SA"/>
              </w:rPr>
              <w:t>合同及旅游服务合同</w:t>
            </w:r>
          </w:p>
        </w:tc>
        <w:tc>
          <w:tcPr>
            <w:tcW w:w="2186" w:type="dxa"/>
            <w:tcBorders>
              <w:tl2br w:val="nil"/>
              <w:tr2bl w:val="nil"/>
            </w:tcBorders>
            <w:vAlign w:val="center"/>
          </w:tcPr>
          <w:p w14:paraId="71CBB454">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①了解合同的概念</w:t>
            </w:r>
          </w:p>
          <w:p w14:paraId="1581E527">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②明确旅游服务合同是旅行社和旅游者之间设立</w:t>
            </w:r>
          </w:p>
          <w:p w14:paraId="6FFB594C">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textAlignment w:val="auto"/>
              <w:rPr>
                <w:rFonts w:hint="eastAsia" w:ascii="Segoe UI" w:hAnsi="Segoe UI" w:eastAsia="Segoe UI" w:cs="Segoe UI"/>
                <w:i w:val="0"/>
                <w:iCs w:val="0"/>
                <w:caps w:val="0"/>
                <w:spacing w:val="0"/>
                <w:sz w:val="19"/>
                <w:szCs w:val="19"/>
                <w:shd w:val="clear" w:fill="FFFFFF"/>
                <w:lang w:val="en-US" w:eastAsia="zh-CN"/>
              </w:rPr>
            </w:pPr>
            <w:r>
              <w:rPr>
                <w:rFonts w:hint="eastAsia" w:ascii="仿宋" w:hAnsi="仿宋" w:eastAsia="仿宋" w:cs="仿宋"/>
                <w:kern w:val="0"/>
                <w:sz w:val="24"/>
                <w:szCs w:val="24"/>
                <w:lang w:val="en-US" w:eastAsia="zh-CN"/>
              </w:rPr>
              <w:t>③掌握旅游服务合同订立的程序</w:t>
            </w:r>
          </w:p>
        </w:tc>
        <w:tc>
          <w:tcPr>
            <w:tcW w:w="967" w:type="dxa"/>
            <w:tcBorders>
              <w:tl2br w:val="nil"/>
              <w:tr2bl w:val="nil"/>
            </w:tcBorders>
            <w:vAlign w:val="top"/>
          </w:tcPr>
          <w:p w14:paraId="7D8E6D5A">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0B4260C1">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79C31152">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0C5C2719">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3008" w:type="dxa"/>
            <w:tcBorders>
              <w:tl2br w:val="nil"/>
              <w:tr2bl w:val="nil"/>
            </w:tcBorders>
            <w:vAlign w:val="center"/>
          </w:tcPr>
          <w:p w14:paraId="4416501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Fonts w:hint="eastAsia" w:ascii="仿宋" w:hAnsi="仿宋" w:eastAsia="仿宋" w:cs="仿宋"/>
                <w:b/>
                <w:bCs/>
                <w:kern w:val="0"/>
                <w:sz w:val="24"/>
                <w:szCs w:val="24"/>
                <w:lang w:val="en-US" w:eastAsia="zh-CN"/>
              </w:rPr>
            </w:pPr>
            <w:r>
              <w:rPr>
                <w:rFonts w:hint="default" w:ascii="仿宋" w:hAnsi="仿宋" w:eastAsia="仿宋" w:cs="仿宋"/>
                <w:b/>
                <w:bCs/>
                <w:kern w:val="0"/>
                <w:sz w:val="24"/>
                <w:szCs w:val="24"/>
                <w:lang w:val="en-US" w:eastAsia="zh-CN"/>
              </w:rPr>
              <w:t>契约自由</w:t>
            </w:r>
            <w:r>
              <w:rPr>
                <w:rFonts w:hint="eastAsia" w:ascii="仿宋" w:hAnsi="仿宋" w:eastAsia="仿宋" w:cs="仿宋"/>
                <w:b/>
                <w:bCs/>
                <w:kern w:val="0"/>
                <w:sz w:val="24"/>
                <w:szCs w:val="24"/>
                <w:lang w:val="en-US" w:eastAsia="zh-CN"/>
              </w:rPr>
              <w:t>&amp;</w:t>
            </w:r>
            <w:r>
              <w:rPr>
                <w:rFonts w:hint="default" w:ascii="仿宋" w:hAnsi="仿宋" w:eastAsia="仿宋" w:cs="仿宋"/>
                <w:b/>
                <w:bCs/>
                <w:kern w:val="0"/>
                <w:sz w:val="24"/>
                <w:szCs w:val="24"/>
                <w:lang w:val="en-US" w:eastAsia="zh-CN"/>
              </w:rPr>
              <w:t>公平正义</w:t>
            </w:r>
            <w:r>
              <w:rPr>
                <w:rFonts w:hint="eastAsia" w:ascii="仿宋" w:hAnsi="仿宋" w:eastAsia="仿宋" w:cs="仿宋"/>
                <w:b/>
                <w:bCs/>
                <w:kern w:val="0"/>
                <w:sz w:val="24"/>
                <w:szCs w:val="24"/>
                <w:lang w:val="en-US" w:eastAsia="zh-CN"/>
              </w:rPr>
              <w:t>&amp;</w:t>
            </w:r>
            <w:r>
              <w:rPr>
                <w:rFonts w:hint="default" w:ascii="仿宋" w:hAnsi="仿宋" w:eastAsia="仿宋" w:cs="仿宋"/>
                <w:b/>
                <w:bCs/>
                <w:kern w:val="0"/>
                <w:sz w:val="24"/>
                <w:szCs w:val="24"/>
                <w:lang w:val="en-US" w:eastAsia="zh-CN"/>
              </w:rPr>
              <w:t>国家治理</w:t>
            </w:r>
            <w:r>
              <w:rPr>
                <w:rFonts w:hint="eastAsia" w:ascii="仿宋" w:hAnsi="仿宋" w:eastAsia="仿宋" w:cs="仿宋"/>
                <w:b/>
                <w:bCs/>
                <w:kern w:val="0"/>
                <w:sz w:val="24"/>
                <w:szCs w:val="24"/>
                <w:lang w:val="en-US" w:eastAsia="zh-CN"/>
              </w:rPr>
              <w:t>&amp;</w:t>
            </w:r>
            <w:r>
              <w:rPr>
                <w:rFonts w:hint="default" w:ascii="仿宋" w:hAnsi="仿宋" w:eastAsia="仿宋" w:cs="仿宋"/>
                <w:b/>
                <w:bCs/>
                <w:kern w:val="0"/>
                <w:sz w:val="24"/>
                <w:szCs w:val="24"/>
                <w:lang w:val="en-US" w:eastAsia="zh-CN"/>
              </w:rPr>
              <w:t>文明素养</w:t>
            </w:r>
          </w:p>
          <w:p w14:paraId="44E5D90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Fonts w:hint="eastAsia" w:ascii="仿宋" w:hAnsi="仿宋" w:eastAsia="宋体" w:cs="仿宋"/>
                <w:kern w:val="0"/>
                <w:sz w:val="24"/>
                <w:szCs w:val="24"/>
                <w:lang w:val="en-US" w:eastAsia="zh-CN"/>
              </w:rPr>
            </w:pPr>
            <w:r>
              <w:rPr>
                <w:rFonts w:hint="default" w:ascii="仿宋" w:hAnsi="仿宋" w:eastAsia="仿宋" w:cs="仿宋"/>
                <w:kern w:val="0"/>
                <w:sz w:val="24"/>
                <w:szCs w:val="24"/>
                <w:lang w:val="en-US" w:eastAsia="zh-CN"/>
              </w:rPr>
              <w:t>要求合同履行中不得欺诈、隐瞒，可结合传统文化中 “言必信，行必果”（《论语》）的诚信理念，说明现代契约精神是对传统美德的继承与发展，增强文化自信。</w:t>
            </w:r>
          </w:p>
        </w:tc>
        <w:tc>
          <w:tcPr>
            <w:tcW w:w="441" w:type="dxa"/>
            <w:tcBorders>
              <w:tl2br w:val="nil"/>
              <w:tr2bl w:val="nil"/>
            </w:tcBorders>
            <w:vAlign w:val="center"/>
          </w:tcPr>
          <w:p w14:paraId="27DB5160">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p>
        </w:tc>
      </w:tr>
      <w:tr w14:paraId="4C08AC0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0" w:type="dxa"/>
            <w:tcBorders>
              <w:tl2br w:val="nil"/>
              <w:tr2bl w:val="nil"/>
            </w:tcBorders>
            <w:vAlign w:val="center"/>
          </w:tcPr>
          <w:p w14:paraId="4698B8EA">
            <w:pPr>
              <w:spacing w:line="240" w:lineRule="auto"/>
              <w:ind w:firstLine="0" w:firstLineChars="0"/>
              <w:rPr>
                <w:rFonts w:hint="eastAsia" w:ascii="仿宋" w:hAnsi="仿宋" w:eastAsia="仿宋" w:cs="仿宋"/>
                <w:sz w:val="24"/>
                <w:szCs w:val="24"/>
                <w:lang w:val="en-US" w:eastAsia="zh-CN"/>
              </w:rPr>
            </w:pPr>
          </w:p>
        </w:tc>
        <w:tc>
          <w:tcPr>
            <w:tcW w:w="915" w:type="dxa"/>
            <w:tcBorders>
              <w:tl2br w:val="nil"/>
              <w:tr2bl w:val="nil"/>
            </w:tcBorders>
            <w:vAlign w:val="center"/>
          </w:tcPr>
          <w:p w14:paraId="63B86A7C">
            <w:pPr>
              <w:keepNext w:val="0"/>
              <w:keepLines w:val="0"/>
              <w:widowControl/>
              <w:suppressLineNumbers w:val="0"/>
              <w:spacing w:before="0" w:beforeAutospacing="0" w:after="0" w:afterAutospacing="0" w:line="240" w:lineRule="auto"/>
              <w:ind w:left="0" w:leftChars="0" w:right="0" w:righ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模块十三</w:t>
            </w:r>
          </w:p>
        </w:tc>
        <w:tc>
          <w:tcPr>
            <w:tcW w:w="735" w:type="dxa"/>
            <w:tcBorders>
              <w:tl2br w:val="nil"/>
              <w:tr2bl w:val="nil"/>
            </w:tcBorders>
            <w:vAlign w:val="center"/>
          </w:tcPr>
          <w:p w14:paraId="4160E3F9">
            <w:pPr>
              <w:spacing w:line="240" w:lineRule="auto"/>
              <w:ind w:left="0" w:leftChars="0" w:firstLine="0" w:firstLineChars="0"/>
              <w:jc w:val="left"/>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在线旅游平台合规管理</w:t>
            </w:r>
          </w:p>
        </w:tc>
        <w:tc>
          <w:tcPr>
            <w:tcW w:w="2186" w:type="dxa"/>
            <w:tcBorders>
              <w:tl2br w:val="nil"/>
              <w:tr2bl w:val="nil"/>
            </w:tcBorders>
            <w:vAlign w:val="center"/>
          </w:tcPr>
          <w:p w14:paraId="76CBBDB8">
            <w:pPr>
              <w:keepNext w:val="0"/>
              <w:keepLines w:val="0"/>
              <w:pageBreakBefore w:val="0"/>
              <w:widowControl/>
              <w:numPr>
                <w:ilvl w:val="0"/>
                <w:numId w:val="0"/>
              </w:numPr>
              <w:kinsoku/>
              <w:wordWrap/>
              <w:overflowPunct/>
              <w:topLinePunct w:val="0"/>
              <w:autoSpaceDE/>
              <w:autoSpaceDN/>
              <w:bidi w:val="0"/>
              <w:adjustRightInd/>
              <w:snapToGrid/>
              <w:spacing w:line="240" w:lineRule="auto"/>
              <w:textAlignment w:val="auto"/>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bidi="ar-SA"/>
              </w:rPr>
              <w:t>①</w:t>
            </w:r>
            <w:r>
              <w:rPr>
                <w:rFonts w:hint="eastAsia" w:ascii="仿宋" w:hAnsi="仿宋" w:eastAsia="仿宋" w:cs="仿宋"/>
                <w:kern w:val="0"/>
                <w:sz w:val="24"/>
                <w:szCs w:val="24"/>
                <w:lang w:val="en-US" w:eastAsia="zh-CN"/>
              </w:rPr>
              <w:t>了解大数据杀熟</w:t>
            </w:r>
          </w:p>
          <w:p w14:paraId="56AB2C8B">
            <w:pPr>
              <w:keepNext w:val="0"/>
              <w:keepLines w:val="0"/>
              <w:pageBreakBefore w:val="0"/>
              <w:widowControl/>
              <w:numPr>
                <w:ilvl w:val="0"/>
                <w:numId w:val="0"/>
              </w:numPr>
              <w:kinsoku/>
              <w:wordWrap/>
              <w:overflowPunct/>
              <w:topLinePunct w:val="0"/>
              <w:autoSpaceDE/>
              <w:autoSpaceDN/>
              <w:bidi w:val="0"/>
              <w:adjustRightInd/>
              <w:snapToGrid/>
              <w:spacing w:line="240" w:lineRule="auto"/>
              <w:textAlignment w:val="auto"/>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bidi="ar-SA"/>
              </w:rPr>
              <w:t>②</w:t>
            </w:r>
            <w:r>
              <w:rPr>
                <w:rFonts w:hint="eastAsia" w:ascii="仿宋" w:hAnsi="仿宋" w:eastAsia="仿宋" w:cs="仿宋"/>
                <w:kern w:val="0"/>
                <w:sz w:val="24"/>
                <w:szCs w:val="24"/>
                <w:lang w:val="en-US" w:eastAsia="zh-CN"/>
              </w:rPr>
              <w:t>掌握退订纠纷、跨境支付合规</w:t>
            </w:r>
          </w:p>
        </w:tc>
        <w:tc>
          <w:tcPr>
            <w:tcW w:w="967" w:type="dxa"/>
            <w:tcBorders>
              <w:tl2br w:val="nil"/>
              <w:tr2bl w:val="nil"/>
            </w:tcBorders>
            <w:vAlign w:val="top"/>
          </w:tcPr>
          <w:p w14:paraId="77D89693">
            <w:pPr>
              <w:keepNext w:val="0"/>
              <w:keepLines w:val="0"/>
              <w:widowControl/>
              <w:numPr>
                <w:ilvl w:val="0"/>
                <w:numId w:val="0"/>
              </w:numPr>
              <w:suppressLineNumbers w:val="0"/>
              <w:spacing w:line="240" w:lineRule="auto"/>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讲授法</w:t>
            </w:r>
          </w:p>
          <w:p w14:paraId="5B0ED838">
            <w:pPr>
              <w:keepNext w:val="0"/>
              <w:keepLines w:val="0"/>
              <w:widowControl/>
              <w:numPr>
                <w:ilvl w:val="0"/>
                <w:numId w:val="0"/>
              </w:numPr>
              <w:suppressLineNumbers w:val="0"/>
              <w:spacing w:line="240" w:lineRule="auto"/>
              <w:jc w:val="both"/>
              <w:textAlignment w:val="center"/>
              <w:rPr>
                <w:rFonts w:hint="eastAsia" w:ascii="仿宋" w:hAnsi="仿宋" w:eastAsia="仿宋" w:cs="仿宋"/>
                <w:b w:val="0"/>
                <w:bCs w:val="0"/>
                <w:kern w:val="0"/>
                <w:sz w:val="24"/>
                <w:szCs w:val="24"/>
                <w:lang w:val="en-US" w:eastAsia="zh-CN"/>
              </w:rPr>
            </w:pPr>
            <w:r>
              <w:rPr>
                <w:rFonts w:hint="eastAsia" w:ascii="仿宋" w:hAnsi="仿宋" w:eastAsia="仿宋" w:cs="仿宋"/>
                <w:b/>
                <w:bCs/>
                <w:kern w:val="0"/>
                <w:sz w:val="24"/>
                <w:szCs w:val="24"/>
                <w:lang w:val="en-US" w:eastAsia="zh-CN"/>
              </w:rPr>
              <w:t>讨论法</w:t>
            </w:r>
          </w:p>
          <w:p w14:paraId="2768AC57">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案例分析法</w:t>
            </w:r>
          </w:p>
          <w:p w14:paraId="05A9075C">
            <w:pPr>
              <w:keepNext w:val="0"/>
              <w:keepLines w:val="0"/>
              <w:widowControl/>
              <w:suppressLineNumbers w:val="0"/>
              <w:spacing w:line="240" w:lineRule="auto"/>
              <w:ind w:left="0" w:leftChars="0" w:firstLine="0" w:firstLineChars="0"/>
              <w:jc w:val="both"/>
              <w:textAlignment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项目实践法</w:t>
            </w:r>
          </w:p>
        </w:tc>
        <w:tc>
          <w:tcPr>
            <w:tcW w:w="3008" w:type="dxa"/>
            <w:tcBorders>
              <w:tl2br w:val="nil"/>
              <w:tr2bl w:val="nil"/>
            </w:tcBorders>
            <w:vAlign w:val="center"/>
          </w:tcPr>
          <w:p w14:paraId="5CB6A9C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Fonts w:hint="eastAsia" w:ascii="仿宋" w:hAnsi="仿宋" w:eastAsia="仿宋" w:cs="仿宋"/>
                <w:kern w:val="0"/>
                <w:sz w:val="24"/>
                <w:szCs w:val="24"/>
                <w:lang w:val="en-US" w:eastAsia="zh-CN"/>
              </w:rPr>
            </w:pPr>
            <w:r>
              <w:rPr>
                <w:rFonts w:hint="eastAsia" w:ascii="仿宋" w:hAnsi="仿宋" w:eastAsia="仿宋" w:cs="仿宋"/>
                <w:b/>
                <w:bCs/>
                <w:kern w:val="0"/>
                <w:sz w:val="24"/>
                <w:szCs w:val="24"/>
                <w:lang w:val="en-US" w:eastAsia="zh-CN"/>
              </w:rPr>
              <w:t>法治信仰&amp;数据安全&amp;可持续发展</w:t>
            </w:r>
          </w:p>
          <w:p w14:paraId="2190F07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在线旅游平台合规的底层逻辑是对《旅游法》《消费者权益保护法》《电子商务法》《数据安全法》等法律法规的遵守，在线旅游平台的合规管理还涉及对生态保护、文化尊重的要求（如推广 “负责任旅游”、禁止销售破坏生态的旅游产品），可借此传递绿色发展与文明交流的理念</w:t>
            </w:r>
          </w:p>
        </w:tc>
        <w:tc>
          <w:tcPr>
            <w:tcW w:w="441" w:type="dxa"/>
            <w:tcBorders>
              <w:tl2br w:val="nil"/>
              <w:tr2bl w:val="nil"/>
            </w:tcBorders>
            <w:vAlign w:val="center"/>
          </w:tcPr>
          <w:p w14:paraId="2CD83DF1">
            <w:pPr>
              <w:spacing w:line="240" w:lineRule="auto"/>
              <w:ind w:firstLine="0" w:firstLineChars="0"/>
              <w:jc w:val="center"/>
              <w:rPr>
                <w:rFonts w:hint="eastAsia" w:ascii="仿宋" w:hAnsi="仿宋" w:eastAsia="仿宋" w:cs="仿宋"/>
                <w:sz w:val="24"/>
                <w:szCs w:val="24"/>
                <w:lang w:val="en-US" w:eastAsia="zh-CN"/>
              </w:rPr>
            </w:pPr>
          </w:p>
        </w:tc>
      </w:tr>
    </w:tbl>
    <w:p w14:paraId="24A9F7DC">
      <w:pPr>
        <w:pStyle w:val="2"/>
        <w:ind w:firstLine="653"/>
      </w:pPr>
      <w:r>
        <w:rPr>
          <w:rFonts w:hint="eastAsia"/>
        </w:rPr>
        <w:t>七、学习评价</w:t>
      </w:r>
      <w:bookmarkEnd w:id="34"/>
      <w:bookmarkEnd w:id="35"/>
      <w:bookmarkEnd w:id="36"/>
    </w:p>
    <w:p w14:paraId="0C122B27">
      <w:pPr>
        <w:spacing w:line="360" w:lineRule="auto"/>
        <w:ind w:firstLine="560"/>
      </w:pPr>
      <w:r>
        <w:rPr>
          <w:rFonts w:hint="eastAsia"/>
          <w:b/>
          <w:bCs/>
        </w:rPr>
        <w:t>本课程达标要求：</w:t>
      </w:r>
    </w:p>
    <w:p w14:paraId="6F855911">
      <w:pPr>
        <w:ind w:firstLine="480"/>
        <w:jc w:val="center"/>
        <w:rPr>
          <w:rFonts w:ascii="仿宋_GB2312" w:hAnsi="仿宋_GB2312" w:cs="仿宋_GB2312"/>
          <w:b/>
          <w:bCs/>
          <w:sz w:val="24"/>
          <w:szCs w:val="21"/>
          <w:highlight w:val="none"/>
        </w:rPr>
      </w:pPr>
      <w:r>
        <w:rPr>
          <w:rFonts w:hint="eastAsia" w:ascii="仿宋_GB2312" w:hAnsi="仿宋_GB2312" w:cs="仿宋_GB2312"/>
          <w:b/>
          <w:bCs/>
          <w:sz w:val="24"/>
          <w:szCs w:val="21"/>
          <w:highlight w:val="none"/>
        </w:rPr>
        <w:t>表4</w:t>
      </w:r>
      <w:r>
        <w:rPr>
          <w:rFonts w:ascii="仿宋_GB2312" w:hAnsi="仿宋_GB2312" w:cs="仿宋_GB2312"/>
          <w:b/>
          <w:bCs/>
          <w:sz w:val="24"/>
          <w:szCs w:val="21"/>
          <w:highlight w:val="none"/>
        </w:rPr>
        <w:t xml:space="preserve">. </w:t>
      </w:r>
      <w:r>
        <w:rPr>
          <w:rFonts w:hint="eastAsia" w:ascii="仿宋_GB2312" w:hAnsi="仿宋_GB2312" w:cs="仿宋_GB2312"/>
          <w:b/>
          <w:bCs/>
          <w:sz w:val="24"/>
          <w:szCs w:val="21"/>
          <w:highlight w:val="none"/>
        </w:rPr>
        <w:t>学习评价表</w:t>
      </w:r>
    </w:p>
    <w:tbl>
      <w:tblPr>
        <w:tblStyle w:val="16"/>
        <w:tblW w:w="8848" w:type="dxa"/>
        <w:tblInd w:w="-19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42"/>
        <w:gridCol w:w="1197"/>
        <w:gridCol w:w="997"/>
        <w:gridCol w:w="4275"/>
        <w:gridCol w:w="1262"/>
        <w:gridCol w:w="675"/>
      </w:tblGrid>
      <w:tr w14:paraId="16327AE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442" w:type="dxa"/>
            <w:tcBorders>
              <w:tl2br w:val="nil"/>
              <w:tr2bl w:val="nil"/>
            </w:tcBorders>
            <w:vAlign w:val="center"/>
          </w:tcPr>
          <w:p w14:paraId="28C9F477">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评价环节</w:t>
            </w:r>
          </w:p>
        </w:tc>
        <w:tc>
          <w:tcPr>
            <w:tcW w:w="1197" w:type="dxa"/>
            <w:tcBorders>
              <w:tl2br w:val="nil"/>
              <w:tr2bl w:val="nil"/>
            </w:tcBorders>
            <w:vAlign w:val="center"/>
          </w:tcPr>
          <w:p w14:paraId="1013DDCD">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课程内容</w:t>
            </w:r>
          </w:p>
          <w:p w14:paraId="562EF7E7">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（模块/项目）</w:t>
            </w:r>
          </w:p>
        </w:tc>
        <w:tc>
          <w:tcPr>
            <w:tcW w:w="997" w:type="dxa"/>
            <w:tcBorders>
              <w:tl2br w:val="nil"/>
              <w:tr2bl w:val="nil"/>
            </w:tcBorders>
            <w:vAlign w:val="center"/>
          </w:tcPr>
          <w:p w14:paraId="2EA213D0">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学习任务</w:t>
            </w:r>
          </w:p>
        </w:tc>
        <w:tc>
          <w:tcPr>
            <w:tcW w:w="4275" w:type="dxa"/>
            <w:tcBorders>
              <w:tl2br w:val="nil"/>
              <w:tr2bl w:val="nil"/>
            </w:tcBorders>
            <w:vAlign w:val="center"/>
          </w:tcPr>
          <w:p w14:paraId="18A10D6C">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评价标准</w:t>
            </w:r>
          </w:p>
          <w:p w14:paraId="762B4CA8">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（学习产出合格要求）</w:t>
            </w:r>
          </w:p>
        </w:tc>
        <w:tc>
          <w:tcPr>
            <w:tcW w:w="1262" w:type="dxa"/>
            <w:tcBorders>
              <w:tl2br w:val="nil"/>
              <w:tr2bl w:val="nil"/>
            </w:tcBorders>
            <w:vAlign w:val="center"/>
          </w:tcPr>
          <w:p w14:paraId="19949F18">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评价方法</w:t>
            </w:r>
          </w:p>
          <w:p w14:paraId="39983759">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（方法、工具、场所）</w:t>
            </w:r>
          </w:p>
        </w:tc>
        <w:tc>
          <w:tcPr>
            <w:tcW w:w="675" w:type="dxa"/>
            <w:tcBorders>
              <w:tl2br w:val="nil"/>
              <w:tr2bl w:val="nil"/>
            </w:tcBorders>
            <w:vAlign w:val="center"/>
          </w:tcPr>
          <w:p w14:paraId="1F631760">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占比</w:t>
            </w:r>
          </w:p>
          <w:p w14:paraId="3649A537">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w:t>
            </w:r>
          </w:p>
        </w:tc>
      </w:tr>
      <w:tr w14:paraId="6644A75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restart"/>
            <w:tcBorders>
              <w:tl2br w:val="nil"/>
              <w:tr2bl w:val="nil"/>
            </w:tcBorders>
            <w:vAlign w:val="center"/>
          </w:tcPr>
          <w:p w14:paraId="46A4A4BF">
            <w:pPr>
              <w:spacing w:line="240" w:lineRule="auto"/>
              <w:ind w:firstLine="0" w:firstLineChars="0"/>
              <w:jc w:val="center"/>
              <w:rPr>
                <w:rFonts w:hint="eastAsia" w:ascii="仿宋" w:hAnsi="仿宋" w:eastAsia="仿宋" w:cs="仿宋"/>
                <w:b/>
                <w:bCs/>
                <w:sz w:val="24"/>
                <w:szCs w:val="24"/>
              </w:rPr>
            </w:pPr>
          </w:p>
          <w:p w14:paraId="0AAA5C38">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b/>
                <w:bCs/>
                <w:sz w:val="24"/>
                <w:szCs w:val="24"/>
              </w:rPr>
              <w:t>过程性评价</w:t>
            </w:r>
          </w:p>
        </w:tc>
        <w:tc>
          <w:tcPr>
            <w:tcW w:w="1197" w:type="dxa"/>
            <w:tcBorders>
              <w:tl2br w:val="nil"/>
              <w:tr2bl w:val="nil"/>
            </w:tcBorders>
            <w:vAlign w:val="center"/>
          </w:tcPr>
          <w:p w14:paraId="083BF5EB">
            <w:pPr>
              <w:widowControl/>
              <w:spacing w:line="240" w:lineRule="auto"/>
              <w:ind w:left="0" w:leftChars="0" w:firstLine="0" w:firstLineChars="0"/>
              <w:jc w:val="both"/>
              <w:rPr>
                <w:rFonts w:hint="eastAsia" w:ascii="仿宋" w:hAnsi="仿宋" w:eastAsia="仿宋" w:cs="仿宋"/>
                <w:sz w:val="24"/>
                <w:szCs w:val="24"/>
              </w:rPr>
            </w:pPr>
            <w:r>
              <w:rPr>
                <w:rFonts w:hint="eastAsia" w:ascii="仿宋" w:hAnsi="仿宋" w:eastAsia="仿宋" w:cs="仿宋"/>
                <w:kern w:val="0"/>
                <w:sz w:val="24"/>
                <w:szCs w:val="24"/>
                <w:lang w:val="en-US" w:eastAsia="zh-CN"/>
              </w:rPr>
              <w:t>模块一</w:t>
            </w:r>
          </w:p>
        </w:tc>
        <w:tc>
          <w:tcPr>
            <w:tcW w:w="997" w:type="dxa"/>
            <w:tcBorders>
              <w:tl2br w:val="nil"/>
              <w:tr2bl w:val="nil"/>
            </w:tcBorders>
            <w:vAlign w:val="center"/>
          </w:tcPr>
          <w:p w14:paraId="5D391180">
            <w:pPr>
              <w:spacing w:line="240" w:lineRule="auto"/>
              <w:ind w:left="0" w:leftChars="0" w:firstLine="0" w:firstLineChars="0"/>
              <w:jc w:val="left"/>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旅游法概述</w:t>
            </w:r>
          </w:p>
        </w:tc>
        <w:tc>
          <w:tcPr>
            <w:tcW w:w="4275" w:type="dxa"/>
            <w:tcBorders>
              <w:tl2br w:val="nil"/>
              <w:tr2bl w:val="nil"/>
            </w:tcBorders>
            <w:vAlign w:val="center"/>
          </w:tcPr>
          <w:p w14:paraId="629918A2">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1.掌握</w:t>
            </w:r>
            <w:r>
              <w:rPr>
                <w:rFonts w:hint="default" w:ascii="仿宋" w:hAnsi="仿宋" w:eastAsia="仿宋" w:cs="仿宋"/>
                <w:kern w:val="0"/>
                <w:sz w:val="24"/>
                <w:szCs w:val="24"/>
                <w:lang w:val="en-US" w:eastAsia="zh-CN" w:bidi="ar-SA"/>
              </w:rPr>
              <w:t>基础法律框架与核心制度</w:t>
            </w:r>
            <w:r>
              <w:rPr>
                <w:rFonts w:hint="eastAsia" w:ascii="仿宋" w:hAnsi="仿宋" w:eastAsia="仿宋" w:cs="仿宋"/>
                <w:kern w:val="0"/>
                <w:sz w:val="24"/>
                <w:szCs w:val="24"/>
                <w:lang w:val="en-US" w:eastAsia="zh-CN" w:bidi="ar-SA"/>
              </w:rPr>
              <w:t>。</w:t>
            </w:r>
          </w:p>
          <w:p w14:paraId="660CAFD2">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2.掌握</w:t>
            </w:r>
            <w:r>
              <w:rPr>
                <w:rFonts w:hint="default" w:ascii="仿宋" w:hAnsi="仿宋" w:eastAsia="仿宋" w:cs="仿宋"/>
                <w:kern w:val="0"/>
                <w:sz w:val="24"/>
                <w:szCs w:val="24"/>
                <w:lang w:val="en-US" w:eastAsia="zh-CN" w:bidi="ar-SA"/>
              </w:rPr>
              <w:t>特殊领域法律规范</w:t>
            </w:r>
            <w:r>
              <w:rPr>
                <w:rFonts w:hint="eastAsia" w:ascii="仿宋" w:hAnsi="仿宋" w:eastAsia="仿宋" w:cs="仿宋"/>
                <w:kern w:val="0"/>
                <w:sz w:val="24"/>
                <w:szCs w:val="24"/>
                <w:lang w:val="en-US" w:eastAsia="zh-CN" w:bidi="ar-SA"/>
              </w:rPr>
              <w:t>。</w:t>
            </w:r>
          </w:p>
          <w:p w14:paraId="1A2DB70C">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sz w:val="24"/>
                <w:szCs w:val="24"/>
              </w:rPr>
            </w:pPr>
            <w:r>
              <w:rPr>
                <w:rFonts w:hint="eastAsia" w:ascii="仿宋" w:hAnsi="仿宋" w:eastAsia="仿宋" w:cs="仿宋"/>
                <w:kern w:val="0"/>
                <w:sz w:val="24"/>
                <w:szCs w:val="24"/>
                <w:lang w:val="en-US" w:eastAsia="zh-CN" w:bidi="ar-SA"/>
              </w:rPr>
              <w:t>3.具备</w:t>
            </w:r>
            <w:r>
              <w:rPr>
                <w:rFonts w:hint="default" w:ascii="仿宋" w:hAnsi="仿宋" w:eastAsia="仿宋" w:cs="仿宋"/>
                <w:kern w:val="0"/>
                <w:sz w:val="24"/>
                <w:szCs w:val="24"/>
                <w:lang w:val="en-US" w:eastAsia="zh-CN" w:bidi="ar-SA"/>
              </w:rPr>
              <w:t>消费者权益保护与纠纷解决</w:t>
            </w:r>
            <w:r>
              <w:rPr>
                <w:rFonts w:hint="eastAsia" w:ascii="仿宋" w:hAnsi="仿宋" w:eastAsia="仿宋" w:cs="仿宋"/>
                <w:kern w:val="0"/>
                <w:sz w:val="24"/>
                <w:szCs w:val="24"/>
                <w:lang w:val="en-US" w:eastAsia="zh-CN" w:bidi="ar-SA"/>
              </w:rPr>
              <w:t>。</w:t>
            </w:r>
          </w:p>
        </w:tc>
        <w:tc>
          <w:tcPr>
            <w:tcW w:w="1262" w:type="dxa"/>
            <w:tcBorders>
              <w:tl2br w:val="nil"/>
              <w:tr2bl w:val="nil"/>
            </w:tcBorders>
            <w:vAlign w:val="center"/>
          </w:tcPr>
          <w:p w14:paraId="5DF42E7E">
            <w:pPr>
              <w:spacing w:line="240" w:lineRule="auto"/>
              <w:ind w:left="0" w:leftChars="0"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6EB87527">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5%</w:t>
            </w:r>
          </w:p>
        </w:tc>
      </w:tr>
      <w:tr w14:paraId="1773D81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47" w:hRule="atLeast"/>
        </w:trPr>
        <w:tc>
          <w:tcPr>
            <w:tcW w:w="442" w:type="dxa"/>
            <w:vMerge w:val="continue"/>
            <w:tcBorders>
              <w:tl2br w:val="nil"/>
              <w:tr2bl w:val="nil"/>
            </w:tcBorders>
            <w:vAlign w:val="center"/>
          </w:tcPr>
          <w:p w14:paraId="215EA75A">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77FD9A13">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模块二</w:t>
            </w:r>
          </w:p>
        </w:tc>
        <w:tc>
          <w:tcPr>
            <w:tcW w:w="997" w:type="dxa"/>
            <w:tcBorders>
              <w:tl2br w:val="nil"/>
              <w:tr2bl w:val="nil"/>
            </w:tcBorders>
            <w:vAlign w:val="center"/>
          </w:tcPr>
          <w:p w14:paraId="44108118">
            <w:pPr>
              <w:spacing w:line="240" w:lineRule="auto"/>
              <w:ind w:left="0" w:leftChars="0" w:firstLine="0" w:firstLineChars="0"/>
              <w:outlineLvl w:val="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旅行社管理法规制度</w:t>
            </w:r>
          </w:p>
        </w:tc>
        <w:tc>
          <w:tcPr>
            <w:tcW w:w="4275" w:type="dxa"/>
            <w:tcBorders>
              <w:tl2br w:val="nil"/>
              <w:tr2bl w:val="nil"/>
            </w:tcBorders>
            <w:vAlign w:val="center"/>
          </w:tcPr>
          <w:p w14:paraId="4381600F">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firstLine="0" w:firstLine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1.掌握合同基本原理。</w:t>
            </w:r>
          </w:p>
          <w:p w14:paraId="24C5DF36">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2.掌握合同履行与变更。</w:t>
            </w:r>
          </w:p>
        </w:tc>
        <w:tc>
          <w:tcPr>
            <w:tcW w:w="1262" w:type="dxa"/>
            <w:tcBorders>
              <w:tl2br w:val="nil"/>
              <w:tr2bl w:val="nil"/>
            </w:tcBorders>
            <w:vAlign w:val="center"/>
          </w:tcPr>
          <w:p w14:paraId="643FB05A">
            <w:pPr>
              <w:spacing w:line="240" w:lineRule="auto"/>
              <w:ind w:left="0" w:leftChars="0"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5B4C46E9">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5%</w:t>
            </w:r>
          </w:p>
        </w:tc>
      </w:tr>
      <w:tr w14:paraId="2C21372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continue"/>
            <w:tcBorders>
              <w:tl2br w:val="nil"/>
              <w:tr2bl w:val="nil"/>
            </w:tcBorders>
            <w:vAlign w:val="center"/>
          </w:tcPr>
          <w:p w14:paraId="42975F90">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3D75B1EB">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模块三</w:t>
            </w:r>
          </w:p>
        </w:tc>
        <w:tc>
          <w:tcPr>
            <w:tcW w:w="997" w:type="dxa"/>
            <w:tcBorders>
              <w:tl2br w:val="nil"/>
              <w:tr2bl w:val="nil"/>
            </w:tcBorders>
            <w:vAlign w:val="center"/>
          </w:tcPr>
          <w:p w14:paraId="5F2163EB">
            <w:pPr>
              <w:spacing w:line="240" w:lineRule="auto"/>
              <w:ind w:left="0" w:leftChars="0" w:firstLine="0" w:firstLineChars="0"/>
              <w:jc w:val="left"/>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导游人员管理法规制度</w:t>
            </w:r>
          </w:p>
        </w:tc>
        <w:tc>
          <w:tcPr>
            <w:tcW w:w="4275" w:type="dxa"/>
            <w:tcBorders>
              <w:tl2br w:val="nil"/>
              <w:tr2bl w:val="nil"/>
            </w:tcBorders>
            <w:vAlign w:val="center"/>
          </w:tcPr>
          <w:p w14:paraId="39768545">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1.掌握</w:t>
            </w:r>
            <w:r>
              <w:rPr>
                <w:rFonts w:hint="default" w:ascii="仿宋" w:hAnsi="仿宋" w:eastAsia="仿宋" w:cs="仿宋"/>
                <w:kern w:val="0"/>
                <w:sz w:val="24"/>
                <w:szCs w:val="24"/>
                <w:lang w:val="en-US" w:eastAsia="zh-CN" w:bidi="ar-SA"/>
              </w:rPr>
              <w:t>消费者权利与经营者义务</w:t>
            </w:r>
          </w:p>
          <w:p w14:paraId="24E5F899">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2.熟练</w:t>
            </w:r>
            <w:r>
              <w:rPr>
                <w:rFonts w:hint="default" w:ascii="仿宋" w:hAnsi="仿宋" w:eastAsia="仿宋" w:cs="仿宋"/>
                <w:kern w:val="0"/>
                <w:sz w:val="24"/>
                <w:szCs w:val="24"/>
                <w:lang w:val="en-US" w:eastAsia="zh-CN" w:bidi="ar-SA"/>
              </w:rPr>
              <w:t>消费争议解决机制</w:t>
            </w:r>
          </w:p>
          <w:p w14:paraId="32D653AB">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3.熟悉</w:t>
            </w:r>
            <w:r>
              <w:rPr>
                <w:rFonts w:hint="default" w:ascii="仿宋" w:hAnsi="仿宋" w:eastAsia="仿宋" w:cs="仿宋"/>
                <w:kern w:val="0"/>
                <w:sz w:val="24"/>
                <w:szCs w:val="24"/>
                <w:lang w:val="en-US" w:eastAsia="zh-CN" w:bidi="ar-SA"/>
              </w:rPr>
              <w:t>重点领域与新型消费模式</w:t>
            </w:r>
          </w:p>
        </w:tc>
        <w:tc>
          <w:tcPr>
            <w:tcW w:w="1262" w:type="dxa"/>
            <w:tcBorders>
              <w:tl2br w:val="nil"/>
              <w:tr2bl w:val="nil"/>
            </w:tcBorders>
            <w:vAlign w:val="center"/>
          </w:tcPr>
          <w:p w14:paraId="783CA926">
            <w:pPr>
              <w:spacing w:line="240" w:lineRule="auto"/>
              <w:ind w:left="0" w:leftChars="0"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6AD26C19">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5%</w:t>
            </w:r>
          </w:p>
        </w:tc>
      </w:tr>
      <w:tr w14:paraId="277835C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continue"/>
            <w:tcBorders>
              <w:tl2br w:val="nil"/>
              <w:tr2bl w:val="nil"/>
            </w:tcBorders>
            <w:vAlign w:val="center"/>
          </w:tcPr>
          <w:p w14:paraId="7FDE6AF6">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380220CA">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模块四</w:t>
            </w:r>
          </w:p>
        </w:tc>
        <w:tc>
          <w:tcPr>
            <w:tcW w:w="997" w:type="dxa"/>
            <w:tcBorders>
              <w:tl2br w:val="nil"/>
              <w:tr2bl w:val="nil"/>
            </w:tcBorders>
            <w:vAlign w:val="center"/>
          </w:tcPr>
          <w:p w14:paraId="20A33112">
            <w:pPr>
              <w:spacing w:line="240" w:lineRule="auto"/>
              <w:ind w:left="0" w:leftChars="0" w:firstLine="0" w:firstLineChars="0"/>
              <w:jc w:val="left"/>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旅游饭店管理法规制度</w:t>
            </w:r>
          </w:p>
        </w:tc>
        <w:tc>
          <w:tcPr>
            <w:tcW w:w="4275" w:type="dxa"/>
            <w:tcBorders>
              <w:tl2br w:val="nil"/>
              <w:tr2bl w:val="nil"/>
            </w:tcBorders>
            <w:vAlign w:val="center"/>
          </w:tcPr>
          <w:p w14:paraId="2A62BE80">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1.明确饭店安全保障义务、消费者权益保护原则。</w:t>
            </w:r>
          </w:p>
          <w:p w14:paraId="252267B6">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2.掌握</w:t>
            </w:r>
            <w:r>
              <w:rPr>
                <w:rFonts w:hint="default" w:ascii="仿宋" w:hAnsi="仿宋" w:eastAsia="仿宋" w:cs="仿宋"/>
                <w:kern w:val="0"/>
                <w:sz w:val="24"/>
                <w:szCs w:val="24"/>
                <w:lang w:val="en-US" w:eastAsia="zh-CN" w:bidi="ar-SA"/>
              </w:rPr>
              <w:t>行业动态与新业态监管</w:t>
            </w:r>
          </w:p>
          <w:p w14:paraId="1FA1FF72">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bidi="ar-SA"/>
              </w:rPr>
              <w:t>3.掌握</w:t>
            </w:r>
            <w:r>
              <w:rPr>
                <w:rFonts w:hint="default" w:ascii="仿宋" w:hAnsi="仿宋" w:eastAsia="仿宋" w:cs="仿宋"/>
                <w:kern w:val="0"/>
                <w:sz w:val="24"/>
                <w:szCs w:val="24"/>
                <w:lang w:val="en-US" w:eastAsia="zh-CN" w:bidi="ar-SA"/>
              </w:rPr>
              <w:t>娱乐场所管理法律制度</w:t>
            </w:r>
            <w:r>
              <w:rPr>
                <w:rFonts w:hint="eastAsia" w:ascii="仿宋" w:hAnsi="仿宋" w:eastAsia="仿宋" w:cs="仿宋"/>
                <w:kern w:val="0"/>
                <w:sz w:val="24"/>
                <w:szCs w:val="24"/>
                <w:lang w:val="en-US" w:eastAsia="zh-CN" w:bidi="ar-SA"/>
              </w:rPr>
              <w:t>。</w:t>
            </w:r>
          </w:p>
        </w:tc>
        <w:tc>
          <w:tcPr>
            <w:tcW w:w="1262" w:type="dxa"/>
            <w:tcBorders>
              <w:tl2br w:val="nil"/>
              <w:tr2bl w:val="nil"/>
            </w:tcBorders>
            <w:vAlign w:val="center"/>
          </w:tcPr>
          <w:p w14:paraId="388F2A5F">
            <w:pPr>
              <w:spacing w:line="240" w:lineRule="auto"/>
              <w:ind w:left="0" w:leftChars="0"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76A72356">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5%</w:t>
            </w:r>
          </w:p>
        </w:tc>
      </w:tr>
      <w:tr w14:paraId="4D3FE02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continue"/>
            <w:tcBorders>
              <w:tl2br w:val="nil"/>
              <w:tr2bl w:val="nil"/>
            </w:tcBorders>
            <w:vAlign w:val="center"/>
          </w:tcPr>
          <w:p w14:paraId="664145D6">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59F766F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模块五</w:t>
            </w:r>
          </w:p>
        </w:tc>
        <w:tc>
          <w:tcPr>
            <w:tcW w:w="997" w:type="dxa"/>
            <w:tcBorders>
              <w:tl2br w:val="nil"/>
              <w:tr2bl w:val="nil"/>
            </w:tcBorders>
            <w:vAlign w:val="center"/>
          </w:tcPr>
          <w:p w14:paraId="1C51BA37">
            <w:pPr>
              <w:spacing w:line="240" w:lineRule="auto"/>
              <w:ind w:left="0" w:leftChars="0" w:firstLine="0" w:firstLineChars="0"/>
              <w:jc w:val="left"/>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旅游交通管理法规制度</w:t>
            </w:r>
          </w:p>
        </w:tc>
        <w:tc>
          <w:tcPr>
            <w:tcW w:w="4275" w:type="dxa"/>
            <w:tcBorders>
              <w:tl2br w:val="nil"/>
              <w:tr2bl w:val="nil"/>
            </w:tcBorders>
            <w:vAlign w:val="center"/>
          </w:tcPr>
          <w:p w14:paraId="37E97301">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1.了解与旅游交通相关的基础法律概念</w:t>
            </w:r>
          </w:p>
          <w:p w14:paraId="53F5CCD2">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2.明确旅游交通法规的定义</w:t>
            </w:r>
          </w:p>
          <w:p w14:paraId="63CE5734">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default" w:ascii="Segoe UI" w:hAnsi="Segoe UI" w:eastAsia="宋体" w:cs="Segoe UI"/>
                <w:i w:val="0"/>
                <w:iCs w:val="0"/>
                <w:caps w:val="0"/>
                <w:spacing w:val="0"/>
                <w:sz w:val="19"/>
                <w:szCs w:val="19"/>
                <w:shd w:val="clear" w:fill="FFFFFF"/>
                <w:lang w:val="en-US" w:eastAsia="zh-CN"/>
              </w:rPr>
            </w:pPr>
            <w:r>
              <w:rPr>
                <w:rFonts w:hint="eastAsia" w:ascii="仿宋" w:hAnsi="仿宋" w:eastAsia="仿宋" w:cs="仿宋"/>
                <w:kern w:val="0"/>
                <w:sz w:val="24"/>
                <w:szCs w:val="24"/>
                <w:lang w:val="en-US" w:eastAsia="zh-CN" w:bidi="ar-SA"/>
              </w:rPr>
              <w:t>3.掌握公路运输中关于旅客随身携带物品和行包的规定</w:t>
            </w:r>
          </w:p>
        </w:tc>
        <w:tc>
          <w:tcPr>
            <w:tcW w:w="1262" w:type="dxa"/>
            <w:tcBorders>
              <w:tl2br w:val="nil"/>
              <w:tr2bl w:val="nil"/>
            </w:tcBorders>
            <w:vAlign w:val="center"/>
          </w:tcPr>
          <w:p w14:paraId="29BFA1C6">
            <w:pPr>
              <w:spacing w:line="240" w:lineRule="auto"/>
              <w:ind w:left="0" w:leftChars="0"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1C9A88C2">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r w14:paraId="3ACBAAF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442" w:type="dxa"/>
            <w:vMerge w:val="continue"/>
            <w:tcBorders>
              <w:tl2br w:val="nil"/>
              <w:tr2bl w:val="nil"/>
            </w:tcBorders>
          </w:tcPr>
          <w:p w14:paraId="669CCA84">
            <w:pPr>
              <w:spacing w:line="240" w:lineRule="auto"/>
              <w:ind w:firstLine="0" w:firstLineChars="0"/>
              <w:rPr>
                <w:rFonts w:hint="eastAsia" w:ascii="仿宋" w:hAnsi="仿宋" w:eastAsia="仿宋" w:cs="仿宋"/>
                <w:sz w:val="24"/>
                <w:szCs w:val="24"/>
              </w:rPr>
            </w:pPr>
          </w:p>
        </w:tc>
        <w:tc>
          <w:tcPr>
            <w:tcW w:w="1197" w:type="dxa"/>
            <w:tcBorders>
              <w:tl2br w:val="nil"/>
              <w:tr2bl w:val="nil"/>
            </w:tcBorders>
            <w:vAlign w:val="center"/>
          </w:tcPr>
          <w:p w14:paraId="70849697">
            <w:pPr>
              <w:widowControl/>
              <w:spacing w:line="240" w:lineRule="auto"/>
              <w:ind w:left="0" w:leftChars="0" w:firstLine="0" w:firstLineChars="0"/>
              <w:jc w:val="both"/>
              <w:rPr>
                <w:rFonts w:hint="eastAsia" w:ascii="仿宋" w:hAnsi="仿宋" w:eastAsia="仿宋" w:cs="仿宋"/>
                <w:sz w:val="24"/>
                <w:szCs w:val="24"/>
              </w:rPr>
            </w:pPr>
            <w:r>
              <w:rPr>
                <w:rFonts w:hint="eastAsia" w:ascii="仿宋" w:hAnsi="仿宋" w:eastAsia="仿宋" w:cs="仿宋"/>
                <w:kern w:val="0"/>
                <w:sz w:val="24"/>
                <w:szCs w:val="24"/>
                <w:lang w:val="en-US" w:eastAsia="zh-CN"/>
              </w:rPr>
              <w:t>模块六</w:t>
            </w:r>
          </w:p>
        </w:tc>
        <w:tc>
          <w:tcPr>
            <w:tcW w:w="997" w:type="dxa"/>
            <w:tcBorders>
              <w:tl2br w:val="nil"/>
              <w:tr2bl w:val="nil"/>
            </w:tcBorders>
            <w:vAlign w:val="center"/>
          </w:tcPr>
          <w:p w14:paraId="257C1742">
            <w:pPr>
              <w:spacing w:line="240" w:lineRule="auto"/>
              <w:ind w:left="0" w:leftChars="0" w:firstLine="0" w:firstLineChars="0"/>
              <w:jc w:val="left"/>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旅游安全管理法规制度</w:t>
            </w:r>
          </w:p>
        </w:tc>
        <w:tc>
          <w:tcPr>
            <w:tcW w:w="4275" w:type="dxa"/>
            <w:tcBorders>
              <w:tl2br w:val="nil"/>
              <w:tr2bl w:val="nil"/>
            </w:tcBorders>
            <w:vAlign w:val="center"/>
          </w:tcPr>
          <w:p w14:paraId="3C3A2F62">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1.了解旅游经营者必须投保的相关保险种类</w:t>
            </w:r>
          </w:p>
          <w:p w14:paraId="1E175825">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2.了解旅游企业定期进行应急预案演练的要求和方法</w:t>
            </w:r>
          </w:p>
          <w:p w14:paraId="0B2AE2F2">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default" w:ascii="Segoe UI" w:hAnsi="Segoe UI" w:eastAsia="宋体" w:cs="Segoe UI"/>
                <w:i w:val="0"/>
                <w:iCs w:val="0"/>
                <w:caps w:val="0"/>
                <w:spacing w:val="0"/>
                <w:sz w:val="19"/>
                <w:szCs w:val="19"/>
                <w:shd w:val="clear" w:fill="FFFFFF"/>
                <w:lang w:val="en-US" w:eastAsia="zh-CN"/>
              </w:rPr>
            </w:pPr>
            <w:r>
              <w:rPr>
                <w:rFonts w:hint="eastAsia" w:ascii="仿宋" w:hAnsi="仿宋" w:eastAsia="仿宋" w:cs="仿宋"/>
                <w:kern w:val="0"/>
                <w:sz w:val="24"/>
                <w:szCs w:val="24"/>
                <w:lang w:val="en-US" w:eastAsia="zh-CN" w:bidi="ar-SA"/>
              </w:rPr>
              <w:t>3.掌握在突发事件现场应采取的合理处置措施</w:t>
            </w:r>
          </w:p>
        </w:tc>
        <w:tc>
          <w:tcPr>
            <w:tcW w:w="1262" w:type="dxa"/>
            <w:tcBorders>
              <w:tl2br w:val="nil"/>
              <w:tr2bl w:val="nil"/>
            </w:tcBorders>
            <w:vAlign w:val="center"/>
          </w:tcPr>
          <w:p w14:paraId="71A91919">
            <w:pPr>
              <w:spacing w:line="240" w:lineRule="auto"/>
              <w:ind w:left="0" w:leftChars="0" w:firstLine="0" w:firstLineChars="0"/>
              <w:jc w:val="center"/>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1D64D2DB">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r w14:paraId="33A8F0B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95" w:hRule="atLeast"/>
        </w:trPr>
        <w:tc>
          <w:tcPr>
            <w:tcW w:w="442" w:type="dxa"/>
            <w:vMerge w:val="continue"/>
            <w:tcBorders>
              <w:tl2br w:val="nil"/>
              <w:tr2bl w:val="nil"/>
            </w:tcBorders>
          </w:tcPr>
          <w:p w14:paraId="2FB5CCE3">
            <w:pPr>
              <w:spacing w:line="240" w:lineRule="auto"/>
              <w:ind w:firstLine="0" w:firstLineChars="0"/>
              <w:rPr>
                <w:rFonts w:hint="eastAsia" w:ascii="仿宋" w:hAnsi="仿宋" w:eastAsia="仿宋" w:cs="仿宋"/>
                <w:sz w:val="24"/>
                <w:szCs w:val="24"/>
              </w:rPr>
            </w:pPr>
          </w:p>
        </w:tc>
        <w:tc>
          <w:tcPr>
            <w:tcW w:w="1197" w:type="dxa"/>
            <w:tcBorders>
              <w:tl2br w:val="nil"/>
              <w:tr2bl w:val="nil"/>
            </w:tcBorders>
            <w:vAlign w:val="center"/>
          </w:tcPr>
          <w:p w14:paraId="3C6282A7">
            <w:pPr>
              <w:keepNext w:val="0"/>
              <w:keepLines w:val="0"/>
              <w:widowControl/>
              <w:suppressLineNumbers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模块七</w:t>
            </w:r>
          </w:p>
        </w:tc>
        <w:tc>
          <w:tcPr>
            <w:tcW w:w="997" w:type="dxa"/>
            <w:tcBorders>
              <w:tl2br w:val="nil"/>
              <w:tr2bl w:val="nil"/>
            </w:tcBorders>
            <w:vAlign w:val="center"/>
          </w:tcPr>
          <w:p w14:paraId="623EF581">
            <w:pPr>
              <w:spacing w:line="240" w:lineRule="auto"/>
              <w:ind w:left="0" w:leftChars="0" w:firstLine="0" w:firstLineChars="0"/>
              <w:jc w:val="left"/>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旅游保险法规制度</w:t>
            </w:r>
          </w:p>
        </w:tc>
        <w:tc>
          <w:tcPr>
            <w:tcW w:w="4275" w:type="dxa"/>
            <w:tcBorders>
              <w:tl2br w:val="nil"/>
              <w:tr2bl w:val="nil"/>
            </w:tcBorders>
            <w:vAlign w:val="center"/>
          </w:tcPr>
          <w:p w14:paraId="6B595025">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1.了解旅游保险法规在降低旅游风险、提供经济补偿、保障旅游者权益、稳定旅游市场等方面的重要性，激发学生学习旅游保险法规的兴趣。</w:t>
            </w:r>
          </w:p>
          <w:p w14:paraId="72B158E0">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2.解旅行社必须依法投保旅行社责任保险的规定</w:t>
            </w:r>
          </w:p>
          <w:p w14:paraId="3FD414A0">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default" w:ascii="Segoe UI" w:hAnsi="Segoe UI" w:eastAsia="宋体" w:cs="Segoe UI"/>
                <w:i w:val="0"/>
                <w:iCs w:val="0"/>
                <w:caps w:val="0"/>
                <w:spacing w:val="0"/>
                <w:sz w:val="19"/>
                <w:szCs w:val="19"/>
                <w:shd w:val="clear" w:fill="FFFFFF"/>
                <w:lang w:val="en-US" w:eastAsia="zh-CN"/>
              </w:rPr>
            </w:pPr>
            <w:r>
              <w:rPr>
                <w:rFonts w:hint="eastAsia" w:ascii="仿宋" w:hAnsi="仿宋" w:eastAsia="仿宋" w:cs="仿宋"/>
                <w:kern w:val="0"/>
                <w:sz w:val="24"/>
                <w:szCs w:val="24"/>
                <w:lang w:val="en-US" w:eastAsia="zh-CN" w:bidi="ar-SA"/>
              </w:rPr>
              <w:t>3.了解保险费的计算方式和缴纳方式</w:t>
            </w:r>
          </w:p>
        </w:tc>
        <w:tc>
          <w:tcPr>
            <w:tcW w:w="1262" w:type="dxa"/>
            <w:tcBorders>
              <w:tl2br w:val="nil"/>
              <w:tr2bl w:val="nil"/>
            </w:tcBorders>
            <w:vAlign w:val="center"/>
          </w:tcPr>
          <w:p w14:paraId="2911ACA3">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考查评价</w:t>
            </w:r>
          </w:p>
        </w:tc>
        <w:tc>
          <w:tcPr>
            <w:tcW w:w="675" w:type="dxa"/>
            <w:tcBorders>
              <w:tl2br w:val="nil"/>
              <w:tr2bl w:val="nil"/>
            </w:tcBorders>
            <w:vAlign w:val="center"/>
          </w:tcPr>
          <w:p w14:paraId="4949124B">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r w14:paraId="3127F18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95" w:hRule="atLeast"/>
        </w:trPr>
        <w:tc>
          <w:tcPr>
            <w:tcW w:w="442" w:type="dxa"/>
            <w:vMerge w:val="continue"/>
            <w:tcBorders>
              <w:tl2br w:val="nil"/>
              <w:tr2bl w:val="nil"/>
            </w:tcBorders>
          </w:tcPr>
          <w:p w14:paraId="01923C14">
            <w:pPr>
              <w:spacing w:line="240" w:lineRule="auto"/>
              <w:ind w:firstLine="0" w:firstLineChars="0"/>
              <w:rPr>
                <w:rFonts w:hint="eastAsia" w:ascii="仿宋" w:hAnsi="仿宋" w:eastAsia="仿宋" w:cs="仿宋"/>
                <w:sz w:val="24"/>
                <w:szCs w:val="24"/>
              </w:rPr>
            </w:pPr>
            <w:bookmarkStart w:id="37" w:name="_Toc502337268"/>
            <w:bookmarkStart w:id="38" w:name="_Toc18233"/>
          </w:p>
        </w:tc>
        <w:tc>
          <w:tcPr>
            <w:tcW w:w="1197" w:type="dxa"/>
            <w:tcBorders>
              <w:tl2br w:val="nil"/>
              <w:tr2bl w:val="nil"/>
            </w:tcBorders>
            <w:vAlign w:val="center"/>
          </w:tcPr>
          <w:p w14:paraId="432FFB58">
            <w:pPr>
              <w:keepNext w:val="0"/>
              <w:keepLines w:val="0"/>
              <w:widowControl/>
              <w:suppressLineNumbers w:val="0"/>
              <w:spacing w:before="0" w:beforeAutospacing="0" w:after="0" w:afterAutospacing="0" w:line="240" w:lineRule="auto"/>
              <w:ind w:left="0" w:leftChars="0" w:right="0" w:righ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模块八</w:t>
            </w:r>
          </w:p>
        </w:tc>
        <w:tc>
          <w:tcPr>
            <w:tcW w:w="997" w:type="dxa"/>
            <w:tcBorders>
              <w:tl2br w:val="nil"/>
              <w:tr2bl w:val="nil"/>
            </w:tcBorders>
            <w:vAlign w:val="center"/>
          </w:tcPr>
          <w:p w14:paraId="2090BA78">
            <w:pPr>
              <w:spacing w:line="240" w:lineRule="auto"/>
              <w:ind w:left="0" w:leftChars="0" w:firstLine="0" w:firstLineChars="0"/>
              <w:jc w:val="left"/>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旅游投诉管理法规制度</w:t>
            </w:r>
          </w:p>
        </w:tc>
        <w:tc>
          <w:tcPr>
            <w:tcW w:w="4275" w:type="dxa"/>
            <w:tcBorders>
              <w:tl2br w:val="nil"/>
              <w:tr2bl w:val="nil"/>
            </w:tcBorders>
            <w:vAlign w:val="center"/>
          </w:tcPr>
          <w:p w14:paraId="737BB5C1">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ascii="Segoe UI" w:hAnsi="Segoe UI" w:eastAsia="Segoe UI" w:cs="Segoe UI"/>
                <w:i w:val="0"/>
                <w:iCs w:val="0"/>
                <w:caps w:val="0"/>
                <w:spacing w:val="0"/>
                <w:sz w:val="19"/>
                <w:szCs w:val="19"/>
                <w:shd w:val="clear" w:fill="FFFFFF"/>
              </w:rPr>
            </w:pPr>
            <w:r>
              <w:rPr>
                <w:rFonts w:hint="eastAsia" w:ascii="仿宋" w:hAnsi="仿宋" w:eastAsia="仿宋" w:cs="仿宋"/>
                <w:kern w:val="0"/>
                <w:sz w:val="24"/>
                <w:szCs w:val="24"/>
                <w:lang w:val="en-US" w:eastAsia="zh-CN"/>
              </w:rPr>
              <w:t>1.</w:t>
            </w:r>
            <w:r>
              <w:rPr>
                <w:rFonts w:ascii="Segoe UI" w:hAnsi="Segoe UI" w:eastAsia="Segoe UI" w:cs="Segoe UI"/>
                <w:i w:val="0"/>
                <w:iCs w:val="0"/>
                <w:caps w:val="0"/>
                <w:spacing w:val="0"/>
                <w:sz w:val="19"/>
                <w:szCs w:val="19"/>
                <w:shd w:val="clear" w:fill="FFFFFF"/>
              </w:rPr>
              <w:t>了解旅游投诉法规在维护旅游者和旅游经营者合法权益</w:t>
            </w:r>
          </w:p>
          <w:p w14:paraId="41158909">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ascii="Segoe UI" w:hAnsi="Segoe UI" w:eastAsia="Segoe UI" w:cs="Segoe UI"/>
                <w:i w:val="0"/>
                <w:iCs w:val="0"/>
                <w:caps w:val="0"/>
                <w:spacing w:val="0"/>
                <w:sz w:val="19"/>
                <w:szCs w:val="19"/>
                <w:shd w:val="clear" w:fill="FFFFFF"/>
              </w:rPr>
            </w:pPr>
            <w:r>
              <w:rPr>
                <w:rFonts w:hint="eastAsia" w:ascii="Segoe UI" w:hAnsi="Segoe UI" w:eastAsia="宋体" w:cs="Segoe UI"/>
                <w:i w:val="0"/>
                <w:iCs w:val="0"/>
                <w:caps w:val="0"/>
                <w:spacing w:val="0"/>
                <w:sz w:val="19"/>
                <w:szCs w:val="19"/>
                <w:shd w:val="clear" w:fill="FFFFFF"/>
                <w:lang w:val="en-US" w:eastAsia="zh-CN"/>
              </w:rPr>
              <w:t>2.</w:t>
            </w:r>
            <w:r>
              <w:rPr>
                <w:rFonts w:ascii="Segoe UI" w:hAnsi="Segoe UI" w:eastAsia="Segoe UI" w:cs="Segoe UI"/>
                <w:i w:val="0"/>
                <w:iCs w:val="0"/>
                <w:caps w:val="0"/>
                <w:spacing w:val="0"/>
                <w:sz w:val="19"/>
                <w:szCs w:val="19"/>
                <w:shd w:val="clear" w:fill="FFFFFF"/>
              </w:rPr>
              <w:t>明确具有投诉资格的主体是旅游者、旅游经营者和旅游从业人员。</w:t>
            </w:r>
          </w:p>
          <w:p w14:paraId="778E790D">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default" w:ascii="Segoe UI" w:hAnsi="Segoe UI" w:eastAsia="宋体" w:cs="Segoe UI"/>
                <w:i w:val="0"/>
                <w:iCs w:val="0"/>
                <w:caps w:val="0"/>
                <w:spacing w:val="0"/>
                <w:sz w:val="19"/>
                <w:szCs w:val="19"/>
                <w:shd w:val="clear" w:fill="FFFFFF"/>
                <w:lang w:val="en-US" w:eastAsia="zh-CN"/>
              </w:rPr>
            </w:pPr>
            <w:r>
              <w:rPr>
                <w:rFonts w:hint="eastAsia" w:ascii="Segoe UI" w:hAnsi="Segoe UI" w:eastAsia="Segoe UI" w:cs="Segoe UI"/>
                <w:i w:val="0"/>
                <w:iCs w:val="0"/>
                <w:caps w:val="0"/>
                <w:spacing w:val="0"/>
                <w:sz w:val="19"/>
                <w:szCs w:val="19"/>
                <w:shd w:val="clear" w:fill="FFFFFF"/>
                <w:lang w:val="en-US" w:eastAsia="zh-CN"/>
              </w:rPr>
              <w:t>3.了解旅游投诉AI工单处理</w:t>
            </w:r>
          </w:p>
        </w:tc>
        <w:tc>
          <w:tcPr>
            <w:tcW w:w="1262" w:type="dxa"/>
            <w:tcBorders>
              <w:tl2br w:val="nil"/>
              <w:tr2bl w:val="nil"/>
            </w:tcBorders>
            <w:vAlign w:val="center"/>
          </w:tcPr>
          <w:p w14:paraId="2DD0AC54">
            <w:pPr>
              <w:spacing w:line="240" w:lineRule="auto"/>
              <w:ind w:firstLine="0" w:firstLineChars="0"/>
              <w:jc w:val="center"/>
              <w:rPr>
                <w:rFonts w:hint="default"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考察评价</w:t>
            </w:r>
          </w:p>
        </w:tc>
        <w:tc>
          <w:tcPr>
            <w:tcW w:w="675" w:type="dxa"/>
            <w:tcBorders>
              <w:tl2br w:val="nil"/>
              <w:tr2bl w:val="nil"/>
            </w:tcBorders>
            <w:vAlign w:val="center"/>
          </w:tcPr>
          <w:p w14:paraId="28353D24">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10%</w:t>
            </w:r>
          </w:p>
        </w:tc>
      </w:tr>
      <w:tr w14:paraId="71581D3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95" w:hRule="atLeast"/>
        </w:trPr>
        <w:tc>
          <w:tcPr>
            <w:tcW w:w="442" w:type="dxa"/>
            <w:vMerge w:val="continue"/>
            <w:tcBorders>
              <w:tl2br w:val="nil"/>
              <w:tr2bl w:val="nil"/>
            </w:tcBorders>
          </w:tcPr>
          <w:p w14:paraId="30D44A36">
            <w:pPr>
              <w:spacing w:line="240" w:lineRule="auto"/>
              <w:ind w:firstLine="0" w:firstLineChars="0"/>
              <w:rPr>
                <w:rFonts w:hint="eastAsia" w:ascii="仿宋" w:hAnsi="仿宋" w:eastAsia="仿宋" w:cs="仿宋"/>
                <w:sz w:val="24"/>
                <w:szCs w:val="24"/>
              </w:rPr>
            </w:pPr>
            <w:bookmarkStart w:id="39" w:name="_Toc20745"/>
          </w:p>
        </w:tc>
        <w:tc>
          <w:tcPr>
            <w:tcW w:w="1197" w:type="dxa"/>
            <w:tcBorders>
              <w:tl2br w:val="nil"/>
              <w:tr2bl w:val="nil"/>
            </w:tcBorders>
            <w:vAlign w:val="center"/>
          </w:tcPr>
          <w:p w14:paraId="416CB8A0">
            <w:pPr>
              <w:keepNext w:val="0"/>
              <w:keepLines w:val="0"/>
              <w:widowControl/>
              <w:suppressLineNumbers w:val="0"/>
              <w:spacing w:before="0" w:beforeAutospacing="0" w:after="0" w:afterAutospacing="0" w:line="240" w:lineRule="auto"/>
              <w:ind w:left="0" w:leftChars="0" w:right="0" w:righ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模块九</w:t>
            </w:r>
          </w:p>
        </w:tc>
        <w:tc>
          <w:tcPr>
            <w:tcW w:w="997" w:type="dxa"/>
            <w:tcBorders>
              <w:tl2br w:val="nil"/>
              <w:tr2bl w:val="nil"/>
            </w:tcBorders>
            <w:vAlign w:val="center"/>
          </w:tcPr>
          <w:p w14:paraId="76CFDE5F">
            <w:pPr>
              <w:spacing w:line="240" w:lineRule="auto"/>
              <w:ind w:left="0" w:leftChars="0" w:firstLine="0" w:firstLineChars="0"/>
              <w:jc w:val="left"/>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旅游资源管理法规制度</w:t>
            </w:r>
          </w:p>
        </w:tc>
        <w:tc>
          <w:tcPr>
            <w:tcW w:w="4275" w:type="dxa"/>
            <w:tcBorders>
              <w:tl2br w:val="nil"/>
              <w:tr2bl w:val="nil"/>
            </w:tcBorders>
            <w:vAlign w:val="center"/>
          </w:tcPr>
          <w:p w14:paraId="7658ECFC">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1.掌握关于旅游资源保护与利用的原则性规定。</w:t>
            </w:r>
          </w:p>
          <w:p w14:paraId="155251C1">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2.掌握法律对旅游资源的分类界定及保护等级。</w:t>
            </w:r>
          </w:p>
          <w:p w14:paraId="12CDE3E3">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3.了解绿色旅游法律制度：低碳设施建设、垃圾分类、可再生能源使用的鼓励政策。</w:t>
            </w:r>
          </w:p>
        </w:tc>
        <w:tc>
          <w:tcPr>
            <w:tcW w:w="1262" w:type="dxa"/>
            <w:tcBorders>
              <w:tl2br w:val="nil"/>
              <w:tr2bl w:val="nil"/>
            </w:tcBorders>
            <w:vAlign w:val="center"/>
          </w:tcPr>
          <w:p w14:paraId="46E8859B">
            <w:pPr>
              <w:spacing w:line="240" w:lineRule="auto"/>
              <w:ind w:left="0" w:leftChars="0" w:firstLine="0" w:firstLineChars="0"/>
              <w:jc w:val="both"/>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考察评价</w:t>
            </w:r>
          </w:p>
        </w:tc>
        <w:tc>
          <w:tcPr>
            <w:tcW w:w="675" w:type="dxa"/>
            <w:tcBorders>
              <w:tl2br w:val="nil"/>
              <w:tr2bl w:val="nil"/>
            </w:tcBorders>
            <w:vAlign w:val="center"/>
          </w:tcPr>
          <w:p w14:paraId="601A0190">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10%</w:t>
            </w:r>
          </w:p>
        </w:tc>
      </w:tr>
      <w:tr w14:paraId="533C1E0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95" w:hRule="atLeast"/>
        </w:trPr>
        <w:tc>
          <w:tcPr>
            <w:tcW w:w="442" w:type="dxa"/>
            <w:vMerge w:val="continue"/>
            <w:tcBorders>
              <w:tl2br w:val="nil"/>
              <w:tr2bl w:val="nil"/>
            </w:tcBorders>
          </w:tcPr>
          <w:p w14:paraId="5B8531A0">
            <w:pPr>
              <w:spacing w:line="240" w:lineRule="auto"/>
              <w:ind w:firstLine="0" w:firstLineChars="0"/>
              <w:rPr>
                <w:rFonts w:hint="eastAsia" w:ascii="仿宋" w:hAnsi="仿宋" w:eastAsia="仿宋" w:cs="仿宋"/>
                <w:sz w:val="24"/>
                <w:szCs w:val="24"/>
              </w:rPr>
            </w:pPr>
          </w:p>
        </w:tc>
        <w:tc>
          <w:tcPr>
            <w:tcW w:w="1197" w:type="dxa"/>
            <w:tcBorders>
              <w:tl2br w:val="nil"/>
              <w:tr2bl w:val="nil"/>
            </w:tcBorders>
            <w:vAlign w:val="center"/>
          </w:tcPr>
          <w:p w14:paraId="610A4131">
            <w:pPr>
              <w:keepNext w:val="0"/>
              <w:keepLines w:val="0"/>
              <w:widowControl/>
              <w:suppressLineNumbers w:val="0"/>
              <w:spacing w:before="0" w:beforeAutospacing="0" w:after="0" w:afterAutospacing="0" w:line="240" w:lineRule="auto"/>
              <w:ind w:left="0" w:leftChars="0" w:right="0" w:righ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模块十</w:t>
            </w:r>
          </w:p>
        </w:tc>
        <w:tc>
          <w:tcPr>
            <w:tcW w:w="997" w:type="dxa"/>
            <w:tcBorders>
              <w:tl2br w:val="nil"/>
              <w:tr2bl w:val="nil"/>
            </w:tcBorders>
            <w:vAlign w:val="center"/>
          </w:tcPr>
          <w:p w14:paraId="459F0E62">
            <w:pPr>
              <w:spacing w:line="240" w:lineRule="auto"/>
              <w:ind w:left="0" w:leftChars="0" w:firstLine="0" w:firstLineChars="0"/>
              <w:jc w:val="left"/>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旅游者出境入境管理法规制度</w:t>
            </w:r>
          </w:p>
        </w:tc>
        <w:tc>
          <w:tcPr>
            <w:tcW w:w="4275" w:type="dxa"/>
            <w:tcBorders>
              <w:tl2br w:val="nil"/>
              <w:tr2bl w:val="nil"/>
            </w:tcBorders>
            <w:vAlign w:val="center"/>
          </w:tcPr>
          <w:p w14:paraId="17F60EDA">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1.了解旅游者出境入境管理法规在维护国家安全</w:t>
            </w:r>
          </w:p>
          <w:p w14:paraId="6D684B83">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2.明确旅游者需持有有效护照或其他有效国际旅行证件</w:t>
            </w:r>
          </w:p>
          <w:p w14:paraId="18221870">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default" w:ascii="Segoe UI" w:hAnsi="Segoe UI" w:eastAsia="宋体" w:cs="Segoe UI"/>
                <w:i w:val="0"/>
                <w:iCs w:val="0"/>
                <w:caps w:val="0"/>
                <w:spacing w:val="0"/>
                <w:sz w:val="19"/>
                <w:szCs w:val="19"/>
                <w:shd w:val="clear" w:fill="FFFFFF"/>
                <w:lang w:val="en-US" w:eastAsia="zh-CN"/>
              </w:rPr>
            </w:pPr>
            <w:r>
              <w:rPr>
                <w:rFonts w:hint="eastAsia" w:ascii="仿宋" w:hAnsi="仿宋" w:eastAsia="仿宋" w:cs="仿宋"/>
                <w:kern w:val="0"/>
                <w:sz w:val="24"/>
                <w:szCs w:val="24"/>
                <w:lang w:val="en-US" w:eastAsia="zh-CN" w:bidi="ar-SA"/>
              </w:rPr>
              <w:t>3.掌握旅游者可能被禁止出境的情况</w:t>
            </w:r>
          </w:p>
        </w:tc>
        <w:tc>
          <w:tcPr>
            <w:tcW w:w="1262" w:type="dxa"/>
            <w:tcBorders>
              <w:tl2br w:val="nil"/>
              <w:tr2bl w:val="nil"/>
            </w:tcBorders>
            <w:vAlign w:val="center"/>
          </w:tcPr>
          <w:p w14:paraId="20551AF4">
            <w:pPr>
              <w:spacing w:line="240" w:lineRule="auto"/>
              <w:ind w:left="0" w:leftChars="0" w:firstLine="0" w:firstLineChars="0"/>
              <w:jc w:val="both"/>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考察评价</w:t>
            </w:r>
          </w:p>
        </w:tc>
        <w:tc>
          <w:tcPr>
            <w:tcW w:w="675" w:type="dxa"/>
            <w:tcBorders>
              <w:tl2br w:val="nil"/>
              <w:tr2bl w:val="nil"/>
            </w:tcBorders>
            <w:vAlign w:val="center"/>
          </w:tcPr>
          <w:p w14:paraId="535540E7">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10%</w:t>
            </w:r>
          </w:p>
        </w:tc>
      </w:tr>
      <w:tr w14:paraId="6D532BA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95" w:hRule="atLeast"/>
        </w:trPr>
        <w:tc>
          <w:tcPr>
            <w:tcW w:w="442" w:type="dxa"/>
            <w:vMerge w:val="continue"/>
            <w:tcBorders>
              <w:tl2br w:val="nil"/>
              <w:tr2bl w:val="nil"/>
            </w:tcBorders>
          </w:tcPr>
          <w:p w14:paraId="62628C67">
            <w:pPr>
              <w:spacing w:line="240" w:lineRule="auto"/>
              <w:ind w:firstLine="0" w:firstLineChars="0"/>
              <w:rPr>
                <w:rFonts w:hint="eastAsia" w:ascii="仿宋" w:hAnsi="仿宋" w:eastAsia="仿宋" w:cs="仿宋"/>
                <w:sz w:val="24"/>
                <w:szCs w:val="24"/>
              </w:rPr>
            </w:pPr>
          </w:p>
        </w:tc>
        <w:tc>
          <w:tcPr>
            <w:tcW w:w="1197" w:type="dxa"/>
            <w:tcBorders>
              <w:tl2br w:val="nil"/>
              <w:tr2bl w:val="nil"/>
            </w:tcBorders>
            <w:vAlign w:val="center"/>
          </w:tcPr>
          <w:p w14:paraId="4ECF4CA4">
            <w:pPr>
              <w:keepNext w:val="0"/>
              <w:keepLines w:val="0"/>
              <w:widowControl/>
              <w:suppressLineNumbers w:val="0"/>
              <w:spacing w:before="0" w:beforeAutospacing="0" w:after="0" w:afterAutospacing="0" w:line="240" w:lineRule="auto"/>
              <w:ind w:left="0" w:leftChars="0" w:right="0" w:righ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模块十一</w:t>
            </w:r>
          </w:p>
        </w:tc>
        <w:tc>
          <w:tcPr>
            <w:tcW w:w="997" w:type="dxa"/>
            <w:tcBorders>
              <w:tl2br w:val="nil"/>
              <w:tr2bl w:val="nil"/>
            </w:tcBorders>
            <w:vAlign w:val="center"/>
          </w:tcPr>
          <w:p w14:paraId="4D356F11">
            <w:pPr>
              <w:spacing w:line="240" w:lineRule="auto"/>
              <w:ind w:left="0" w:leftChars="0" w:firstLine="0" w:firstLineChars="0"/>
              <w:jc w:val="left"/>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旅游消费者权益保护法律制度</w:t>
            </w:r>
          </w:p>
        </w:tc>
        <w:tc>
          <w:tcPr>
            <w:tcW w:w="4275" w:type="dxa"/>
            <w:tcBorders>
              <w:tl2br w:val="nil"/>
              <w:tr2bl w:val="nil"/>
            </w:tcBorders>
            <w:vAlign w:val="center"/>
          </w:tcPr>
          <w:p w14:paraId="4A0C5C1A">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1.了解旅游消费者作为消费者所享有的基本权利和受到的法律保护</w:t>
            </w:r>
          </w:p>
          <w:p w14:paraId="40C25615">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2.理解其中关于消费者安全权、知情权、选择权、公平交易权、求偿权等基本权利的规定，以及经营者的相应义务</w:t>
            </w:r>
          </w:p>
          <w:p w14:paraId="076BA7E9">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3.掌握与旅游消费者权益保护相关的条款，如旅游经营者的诚信经营原则、旅游服务合同的规范等</w:t>
            </w:r>
          </w:p>
          <w:p w14:paraId="4450D8D1">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4.获取旅行策划证书</w:t>
            </w:r>
          </w:p>
        </w:tc>
        <w:tc>
          <w:tcPr>
            <w:tcW w:w="1262" w:type="dxa"/>
            <w:tcBorders>
              <w:tl2br w:val="nil"/>
              <w:tr2bl w:val="nil"/>
            </w:tcBorders>
            <w:vAlign w:val="center"/>
          </w:tcPr>
          <w:p w14:paraId="55F663B5">
            <w:pPr>
              <w:spacing w:line="240" w:lineRule="auto"/>
              <w:ind w:left="0" w:leftChars="0" w:firstLine="0" w:firstLineChars="0"/>
              <w:jc w:val="both"/>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考察评价</w:t>
            </w:r>
          </w:p>
        </w:tc>
        <w:tc>
          <w:tcPr>
            <w:tcW w:w="675" w:type="dxa"/>
            <w:tcBorders>
              <w:tl2br w:val="nil"/>
              <w:tr2bl w:val="nil"/>
            </w:tcBorders>
            <w:vAlign w:val="center"/>
          </w:tcPr>
          <w:p w14:paraId="6E2C46CE">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10%</w:t>
            </w:r>
          </w:p>
        </w:tc>
      </w:tr>
      <w:tr w14:paraId="6DE0561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95" w:hRule="atLeast"/>
        </w:trPr>
        <w:tc>
          <w:tcPr>
            <w:tcW w:w="442" w:type="dxa"/>
            <w:vMerge w:val="continue"/>
            <w:tcBorders>
              <w:tl2br w:val="nil"/>
              <w:tr2bl w:val="nil"/>
            </w:tcBorders>
          </w:tcPr>
          <w:p w14:paraId="3636F20A">
            <w:pPr>
              <w:spacing w:line="240" w:lineRule="auto"/>
              <w:ind w:firstLine="0" w:firstLineChars="0"/>
              <w:rPr>
                <w:rFonts w:hint="eastAsia" w:ascii="仿宋" w:hAnsi="仿宋" w:eastAsia="仿宋" w:cs="仿宋"/>
                <w:sz w:val="24"/>
                <w:szCs w:val="24"/>
              </w:rPr>
            </w:pPr>
          </w:p>
        </w:tc>
        <w:tc>
          <w:tcPr>
            <w:tcW w:w="1197" w:type="dxa"/>
            <w:tcBorders>
              <w:tl2br w:val="nil"/>
              <w:tr2bl w:val="nil"/>
            </w:tcBorders>
            <w:vAlign w:val="center"/>
          </w:tcPr>
          <w:p w14:paraId="5350E418">
            <w:pPr>
              <w:keepNext w:val="0"/>
              <w:keepLines w:val="0"/>
              <w:widowControl/>
              <w:suppressLineNumbers w:val="0"/>
              <w:spacing w:before="0" w:beforeAutospacing="0" w:after="0" w:afterAutospacing="0" w:line="240" w:lineRule="auto"/>
              <w:ind w:left="0" w:leftChars="0" w:right="0" w:righ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模块十二</w:t>
            </w:r>
          </w:p>
        </w:tc>
        <w:tc>
          <w:tcPr>
            <w:tcW w:w="997" w:type="dxa"/>
            <w:tcBorders>
              <w:tl2br w:val="nil"/>
              <w:tr2bl w:val="nil"/>
            </w:tcBorders>
            <w:vAlign w:val="center"/>
          </w:tcPr>
          <w:p w14:paraId="3462711E">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合同及旅游服务合同</w:t>
            </w:r>
          </w:p>
        </w:tc>
        <w:tc>
          <w:tcPr>
            <w:tcW w:w="4275" w:type="dxa"/>
            <w:tcBorders>
              <w:tl2br w:val="nil"/>
              <w:tr2bl w:val="nil"/>
            </w:tcBorders>
            <w:vAlign w:val="center"/>
          </w:tcPr>
          <w:p w14:paraId="19FEE7F5">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1.具备主体适格、意思表示真实、内容合法等条件的合同</w:t>
            </w:r>
          </w:p>
          <w:p w14:paraId="12DC7DA5">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2.掌握</w:t>
            </w:r>
            <w:r>
              <w:rPr>
                <w:rFonts w:hint="default" w:ascii="仿宋" w:hAnsi="仿宋" w:eastAsia="仿宋" w:cs="仿宋"/>
                <w:kern w:val="0"/>
                <w:sz w:val="24"/>
                <w:szCs w:val="24"/>
                <w:lang w:val="en-US" w:eastAsia="zh-CN" w:bidi="ar-SA"/>
              </w:rPr>
              <w:t>合同的基本概念与特征</w:t>
            </w:r>
          </w:p>
          <w:p w14:paraId="23357CE1">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3.了解</w:t>
            </w:r>
            <w:r>
              <w:rPr>
                <w:rFonts w:hint="default" w:ascii="仿宋" w:hAnsi="仿宋" w:eastAsia="仿宋" w:cs="仿宋"/>
                <w:kern w:val="0"/>
                <w:sz w:val="24"/>
                <w:szCs w:val="24"/>
                <w:lang w:val="en-US" w:eastAsia="zh-CN" w:bidi="ar-SA"/>
              </w:rPr>
              <w:t>旅游服务合同的特殊规定</w:t>
            </w:r>
          </w:p>
          <w:p w14:paraId="2D040873">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textAlignment w:val="auto"/>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4.取得相关证书</w:t>
            </w:r>
          </w:p>
        </w:tc>
        <w:tc>
          <w:tcPr>
            <w:tcW w:w="1262" w:type="dxa"/>
            <w:tcBorders>
              <w:tl2br w:val="nil"/>
              <w:tr2bl w:val="nil"/>
            </w:tcBorders>
            <w:vAlign w:val="center"/>
          </w:tcPr>
          <w:p w14:paraId="48A95E7E">
            <w:pPr>
              <w:spacing w:line="240" w:lineRule="auto"/>
              <w:ind w:left="0" w:leftChars="0" w:firstLine="0" w:firstLineChars="0"/>
              <w:jc w:val="both"/>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考察评价</w:t>
            </w:r>
          </w:p>
        </w:tc>
        <w:tc>
          <w:tcPr>
            <w:tcW w:w="675" w:type="dxa"/>
            <w:tcBorders>
              <w:tl2br w:val="nil"/>
              <w:tr2bl w:val="nil"/>
            </w:tcBorders>
            <w:vAlign w:val="center"/>
          </w:tcPr>
          <w:p w14:paraId="4C9AC99C">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10%</w:t>
            </w:r>
          </w:p>
        </w:tc>
      </w:tr>
    </w:tbl>
    <w:p w14:paraId="1A544E42">
      <w:pPr>
        <w:pStyle w:val="2"/>
        <w:ind w:firstLine="653"/>
      </w:pPr>
      <w:r>
        <w:rPr>
          <w:rFonts w:hint="eastAsia"/>
        </w:rPr>
        <w:t>八、教学资源</w:t>
      </w:r>
      <w:bookmarkEnd w:id="37"/>
      <w:bookmarkEnd w:id="38"/>
      <w:bookmarkEnd w:id="39"/>
    </w:p>
    <w:p w14:paraId="5857D757">
      <w:pPr>
        <w:pStyle w:val="3"/>
        <w:ind w:firstLine="560"/>
        <w:rPr>
          <w:rFonts w:hint="eastAsia"/>
        </w:rPr>
      </w:pPr>
      <w:bookmarkStart w:id="40" w:name="_Toc20587"/>
      <w:bookmarkStart w:id="41" w:name="_Toc1991"/>
      <w:r>
        <w:rPr>
          <w:rFonts w:hint="eastAsia"/>
        </w:rPr>
        <w:t>（一）主要参考教材</w:t>
      </w:r>
      <w:bookmarkEnd w:id="40"/>
      <w:bookmarkEnd w:id="41"/>
    </w:p>
    <w:p w14:paraId="1D0F5D3D">
      <w:pPr>
        <w:bidi w:val="0"/>
        <w:rPr>
          <w:rFonts w:hint="eastAsia"/>
          <w:lang w:val="en-US" w:eastAsia="zh-CN"/>
        </w:rPr>
      </w:pPr>
      <w:r>
        <w:rPr>
          <w:rFonts w:hint="eastAsia"/>
          <w:lang w:val="en-US" w:eastAsia="zh-CN"/>
        </w:rPr>
        <w:t>1.马萍，赵小莹. 《旅游政策与法规》（第二版） . 高等教育出版社，2022.</w:t>
      </w:r>
    </w:p>
    <w:p w14:paraId="0A4AE3D8">
      <w:pPr>
        <w:pStyle w:val="3"/>
        <w:numPr>
          <w:ilvl w:val="0"/>
          <w:numId w:val="6"/>
        </w:numPr>
        <w:ind w:firstLine="560"/>
        <w:rPr>
          <w:rFonts w:hint="eastAsia"/>
        </w:rPr>
      </w:pPr>
      <w:bookmarkStart w:id="42" w:name="_Toc23228"/>
      <w:bookmarkStart w:id="43" w:name="_Toc29665"/>
      <w:r>
        <w:rPr>
          <w:rFonts w:hint="eastAsia"/>
        </w:rPr>
        <w:t>其他参考资料</w:t>
      </w:r>
      <w:bookmarkEnd w:id="42"/>
      <w:bookmarkEnd w:id="43"/>
    </w:p>
    <w:p w14:paraId="57315E32">
      <w:pPr>
        <w:bidi w:val="0"/>
        <w:rPr>
          <w:rFonts w:hint="eastAsia"/>
        </w:rPr>
      </w:pPr>
      <w:r>
        <w:rPr>
          <w:rFonts w:hint="eastAsia"/>
          <w:lang w:val="en-US" w:eastAsia="zh-CN"/>
        </w:rPr>
        <w:t>1.</w:t>
      </w:r>
      <w:r>
        <w:rPr>
          <w:rFonts w:hint="eastAsia"/>
        </w:rPr>
        <w:t>郭玲玲. 《旅游政策与法规》</w:t>
      </w:r>
      <w:r>
        <w:rPr>
          <w:rFonts w:hint="eastAsia"/>
          <w:lang w:val="en-US" w:eastAsia="zh-CN"/>
        </w:rPr>
        <w:t xml:space="preserve"> </w:t>
      </w:r>
      <w:r>
        <w:rPr>
          <w:rFonts w:hint="eastAsia"/>
        </w:rPr>
        <w:t>[M]. 第2版</w:t>
      </w:r>
      <w:r>
        <w:rPr>
          <w:rFonts w:hint="eastAsia"/>
          <w:lang w:val="en-US" w:eastAsia="zh-CN"/>
        </w:rPr>
        <w:t>.高长春东北师范大学出版社有限责任公司</w:t>
      </w:r>
      <w:r>
        <w:rPr>
          <w:rFonts w:hint="eastAsia"/>
        </w:rPr>
        <w:t>，20</w:t>
      </w:r>
      <w:r>
        <w:rPr>
          <w:rFonts w:hint="eastAsia"/>
          <w:lang w:val="en-US" w:eastAsia="zh-CN"/>
        </w:rPr>
        <w:t>19</w:t>
      </w:r>
      <w:r>
        <w:rPr>
          <w:rFonts w:hint="eastAsia"/>
        </w:rPr>
        <w:t>.</w:t>
      </w:r>
    </w:p>
    <w:p w14:paraId="28F74F70">
      <w:pPr>
        <w:bidi w:val="0"/>
        <w:rPr>
          <w:rFonts w:hint="eastAsia"/>
        </w:rPr>
      </w:pPr>
      <w:r>
        <w:rPr>
          <w:rFonts w:hint="eastAsia"/>
          <w:lang w:val="en-US" w:eastAsia="zh-CN"/>
        </w:rPr>
        <w:t>2.</w:t>
      </w:r>
      <w:r>
        <w:rPr>
          <w:rFonts w:hint="eastAsia"/>
        </w:rPr>
        <w:t xml:space="preserve">黄国刚. 《旅游政策与法规》[M].  </w:t>
      </w:r>
      <w:r>
        <w:rPr>
          <w:rFonts w:hint="eastAsia"/>
          <w:lang w:val="en-US" w:eastAsia="zh-CN"/>
        </w:rPr>
        <w:t>北京理工大学出版社有限责任公司</w:t>
      </w:r>
      <w:r>
        <w:rPr>
          <w:rFonts w:hint="eastAsia"/>
        </w:rPr>
        <w:t>，202</w:t>
      </w:r>
      <w:r>
        <w:rPr>
          <w:rFonts w:hint="eastAsia"/>
          <w:lang w:val="en-US" w:eastAsia="zh-CN"/>
        </w:rPr>
        <w:t>1</w:t>
      </w:r>
      <w:r>
        <w:rPr>
          <w:rFonts w:hint="eastAsia"/>
        </w:rPr>
        <w:t>.</w:t>
      </w:r>
    </w:p>
    <w:p w14:paraId="1E8CD050">
      <w:pPr>
        <w:bidi w:val="0"/>
        <w:rPr>
          <w:rFonts w:hint="default" w:eastAsia="仿宋_GB2312"/>
          <w:lang w:val="en-US" w:eastAsia="zh-CN"/>
        </w:rPr>
      </w:pPr>
      <w:r>
        <w:rPr>
          <w:rFonts w:hint="eastAsia"/>
          <w:lang w:val="en-US" w:eastAsia="zh-CN"/>
        </w:rPr>
        <w:t>3.马萍.</w:t>
      </w:r>
      <w:r>
        <w:rPr>
          <w:rFonts w:hint="eastAsia"/>
          <w:lang w:eastAsia="zh-CN"/>
        </w:rPr>
        <w:t>《</w:t>
      </w:r>
      <w:r>
        <w:rPr>
          <w:rFonts w:hint="eastAsia"/>
        </w:rPr>
        <w:t>旅游政策与法规</w:t>
      </w:r>
      <w:r>
        <w:rPr>
          <w:rFonts w:hint="eastAsia"/>
          <w:lang w:eastAsia="zh-CN"/>
        </w:rPr>
        <w:t>》</w:t>
      </w:r>
      <w:r>
        <w:rPr>
          <w:rFonts w:hint="eastAsia"/>
        </w:rPr>
        <w:t>[M].</w:t>
      </w:r>
      <w:r>
        <w:rPr>
          <w:rFonts w:hint="eastAsia"/>
          <w:lang w:val="en-US" w:eastAsia="zh-CN"/>
        </w:rPr>
        <w:t xml:space="preserve"> 高等教育出版社有限公司，2020.</w:t>
      </w:r>
    </w:p>
    <w:p w14:paraId="3A435705">
      <w:pPr>
        <w:pStyle w:val="3"/>
        <w:ind w:firstLine="560"/>
      </w:pPr>
      <w:bookmarkStart w:id="44" w:name="_Toc21776"/>
      <w:bookmarkStart w:id="45" w:name="_Toc6077"/>
      <w:r>
        <w:rPr>
          <w:rFonts w:hint="eastAsia"/>
        </w:rPr>
        <w:t>（三）实训条件</w:t>
      </w:r>
      <w:bookmarkEnd w:id="44"/>
      <w:bookmarkEnd w:id="45"/>
    </w:p>
    <w:p w14:paraId="48307A5F">
      <w:pPr>
        <w:bidi w:val="0"/>
        <w:rPr>
          <w:rFonts w:hint="eastAsia" w:ascii="仿宋" w:hAnsi="仿宋" w:eastAsia="仿宋" w:cs="仿宋"/>
          <w:color w:val="auto"/>
          <w:sz w:val="30"/>
          <w:szCs w:val="30"/>
        </w:rPr>
      </w:pPr>
      <w:bookmarkStart w:id="46" w:name="_Toc29888"/>
      <w:r>
        <w:rPr>
          <w:rFonts w:hint="eastAsia" w:ascii="仿宋_GB2312" w:hAnsi="仿宋_GB2312" w:eastAsia="仿宋_GB2312" w:cs="仿宋_GB2312"/>
          <w:color w:val="auto"/>
          <w:sz w:val="30"/>
          <w:szCs w:val="30"/>
        </w:rPr>
        <w:t>1.硬件设施：</w:t>
      </w:r>
      <w:r>
        <w:rPr>
          <w:rFonts w:hint="eastAsia" w:ascii="仿宋" w:hAnsi="仿宋" w:eastAsia="仿宋" w:cs="仿宋"/>
          <w:color w:val="auto"/>
          <w:sz w:val="30"/>
          <w:szCs w:val="30"/>
        </w:rPr>
        <w:t>小组讨论室、多媒体教室</w:t>
      </w:r>
    </w:p>
    <w:p w14:paraId="0C62A66E">
      <w:pPr>
        <w:bidi w:val="0"/>
        <w:rPr>
          <w:rFonts w:hint="eastAsia" w:ascii="仿宋" w:hAnsi="仿宋" w:eastAsia="仿宋" w:cs="仿宋"/>
          <w:color w:val="auto"/>
          <w:sz w:val="30"/>
          <w:szCs w:val="30"/>
        </w:rPr>
      </w:pPr>
      <w:r>
        <w:rPr>
          <w:rFonts w:hint="eastAsia" w:ascii="仿宋_GB2312" w:hAnsi="仿宋_GB2312" w:eastAsia="仿宋_GB2312" w:cs="仿宋_GB2312"/>
          <w:color w:val="auto"/>
          <w:sz w:val="30"/>
          <w:szCs w:val="30"/>
        </w:rPr>
        <w:t>2.软件设施：</w:t>
      </w:r>
      <w:r>
        <w:rPr>
          <w:rFonts w:hint="eastAsia" w:ascii="仿宋" w:hAnsi="仿宋" w:eastAsia="仿宋" w:cs="仿宋"/>
          <w:color w:val="auto"/>
          <w:sz w:val="30"/>
          <w:szCs w:val="30"/>
        </w:rPr>
        <w:t>多媒体软件</w:t>
      </w:r>
    </w:p>
    <w:p w14:paraId="4496511E">
      <w:pPr>
        <w:pStyle w:val="3"/>
        <w:ind w:firstLine="560"/>
        <w:rPr>
          <w:rFonts w:hint="eastAsia"/>
        </w:rPr>
      </w:pPr>
      <w:bookmarkStart w:id="47" w:name="_Toc97"/>
      <w:r>
        <w:rPr>
          <w:rFonts w:hint="eastAsia"/>
        </w:rPr>
        <w:t>（四）信息化教学资源</w:t>
      </w:r>
      <w:bookmarkEnd w:id="46"/>
      <w:bookmarkEnd w:id="47"/>
    </w:p>
    <w:p w14:paraId="34A1C4FF">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pPr>
      <w:r>
        <w:rPr>
          <w:rFonts w:hint="eastAsia" w:ascii="仿宋_GB2312" w:hAnsi="宋体" w:eastAsia="仿宋_GB2312" w:cs="宋体"/>
          <w:kern w:val="0"/>
          <w:sz w:val="28"/>
          <w:szCs w:val="28"/>
          <w:lang w:val="en-US" w:eastAsia="zh-CN"/>
        </w:rPr>
        <w:t>PPT、慕课</w:t>
      </w:r>
      <w:r>
        <w:rPr>
          <w:rFonts w:hint="eastAsia" w:ascii="仿宋_GB2312" w:hAnsi="宋体" w:cs="宋体"/>
          <w:kern w:val="0"/>
          <w:sz w:val="28"/>
          <w:szCs w:val="28"/>
          <w:lang w:val="en-US" w:eastAsia="zh-CN"/>
        </w:rPr>
        <w:t>、</w:t>
      </w:r>
      <w:r>
        <w:rPr>
          <w:rFonts w:hint="eastAsia" w:ascii="仿宋_GB2312" w:hAnsi="宋体" w:eastAsia="仿宋_GB2312" w:cs="宋体"/>
          <w:kern w:val="0"/>
          <w:sz w:val="28"/>
          <w:szCs w:val="28"/>
          <w:lang w:val="en-US" w:eastAsia="zh-CN"/>
        </w:rPr>
        <w:t>教学质量管理检测系统</w:t>
      </w:r>
    </w:p>
    <w:p w14:paraId="3C5703F3">
      <w:pPr>
        <w:pStyle w:val="2"/>
        <w:numPr>
          <w:ilvl w:val="0"/>
          <w:numId w:val="7"/>
        </w:numPr>
        <w:bidi w:val="0"/>
        <w:rPr>
          <w:rFonts w:hint="eastAsia"/>
          <w:lang w:eastAsia="zh-CN"/>
        </w:rPr>
      </w:pPr>
      <w:bookmarkStart w:id="48" w:name="_Toc10388"/>
      <w:bookmarkStart w:id="49" w:name="_Toc6694"/>
      <w:bookmarkStart w:id="50" w:name="_Hlk90479468"/>
      <w:r>
        <w:rPr>
          <w:rFonts w:hint="eastAsia"/>
        </w:rPr>
        <w:t>师资要求</w:t>
      </w:r>
      <w:bookmarkEnd w:id="48"/>
      <w:bookmarkEnd w:id="49"/>
      <w:r>
        <w:rPr>
          <w:rFonts w:hint="eastAsia"/>
          <w:lang w:eastAsia="zh-CN"/>
        </w:rPr>
        <w:tab/>
      </w:r>
    </w:p>
    <w:p w14:paraId="20C949D0">
      <w:pPr>
        <w:pStyle w:val="3"/>
        <w:bidi w:val="0"/>
        <w:rPr>
          <w:rFonts w:hint="eastAsia"/>
        </w:rPr>
      </w:pPr>
      <w:bookmarkStart w:id="51" w:name="_Toc30081"/>
      <w:r>
        <w:rPr>
          <w:rFonts w:hint="eastAsia"/>
          <w:lang w:eastAsia="zh-CN"/>
        </w:rPr>
        <w:t>（</w:t>
      </w:r>
      <w:r>
        <w:rPr>
          <w:rFonts w:hint="eastAsia"/>
          <w:lang w:val="en-US" w:eastAsia="zh-CN"/>
        </w:rPr>
        <w:t>一</w:t>
      </w:r>
      <w:r>
        <w:rPr>
          <w:rFonts w:hint="eastAsia"/>
          <w:lang w:eastAsia="zh-CN"/>
        </w:rPr>
        <w:t>）</w:t>
      </w:r>
      <w:r>
        <w:rPr>
          <w:rFonts w:hint="eastAsia"/>
        </w:rPr>
        <w:t>对“双师型”教学团队的基本要求</w:t>
      </w:r>
      <w:bookmarkEnd w:id="51"/>
    </w:p>
    <w:p w14:paraId="37BF1601">
      <w:pPr>
        <w:bidi w:val="0"/>
        <w:rPr>
          <w:rFonts w:hint="eastAsia"/>
        </w:rPr>
      </w:pPr>
      <w:r>
        <w:rPr>
          <w:rFonts w:hint="eastAsia"/>
          <w:lang w:val="en-US" w:eastAsia="zh-CN"/>
        </w:rPr>
        <w:t>任课教师应取得旅游管理类硕士学位并具备教学资质，具有行业企业工作经验，取得行业的职业资格中级以上资格证书，具备本专业扎实的专业知识和丰富的实践经验。</w:t>
      </w:r>
    </w:p>
    <w:p w14:paraId="05309966">
      <w:pPr>
        <w:pStyle w:val="3"/>
        <w:bidi w:val="0"/>
        <w:rPr>
          <w:rFonts w:hint="eastAsia"/>
          <w:lang w:eastAsia="zh-CN"/>
        </w:rPr>
      </w:pPr>
      <w:bookmarkStart w:id="52" w:name="_Toc29403"/>
      <w:r>
        <w:rPr>
          <w:rFonts w:hint="eastAsia"/>
          <w:lang w:eastAsia="zh-CN"/>
        </w:rPr>
        <w:t>（</w:t>
      </w:r>
      <w:r>
        <w:rPr>
          <w:rFonts w:hint="eastAsia"/>
          <w:lang w:val="en-US" w:eastAsia="zh-CN"/>
        </w:rPr>
        <w:t>二</w:t>
      </w:r>
      <w:r>
        <w:rPr>
          <w:rFonts w:hint="eastAsia"/>
          <w:lang w:eastAsia="zh-CN"/>
        </w:rPr>
        <w:t>）对兼职教师的基本要求</w:t>
      </w:r>
      <w:bookmarkEnd w:id="52"/>
    </w:p>
    <w:p w14:paraId="369F3F78">
      <w:pPr>
        <w:keepNext w:val="0"/>
        <w:keepLines w:val="0"/>
        <w:widowControl w:val="0"/>
        <w:suppressLineNumbers w:val="0"/>
        <w:spacing w:before="0" w:beforeAutospacing="0" w:after="0" w:afterAutospacing="0" w:line="600" w:lineRule="exact"/>
        <w:ind w:left="0" w:right="0" w:firstLine="560" w:firstLineChars="200"/>
        <w:jc w:val="both"/>
        <w:outlineLvl w:val="9"/>
        <w:rPr>
          <w:rFonts w:ascii="仿宋_GB2312" w:hAnsi="宋体" w:eastAsia="仿宋_GB2312" w:cs="宋体"/>
          <w:kern w:val="0"/>
          <w:sz w:val="28"/>
          <w:szCs w:val="28"/>
        </w:rPr>
      </w:pPr>
      <w:r>
        <w:rPr>
          <w:rFonts w:hint="eastAsia" w:ascii="仿宋_GB2312" w:hAnsi="宋体" w:eastAsia="仿宋_GB2312" w:cs="宋体"/>
          <w:kern w:val="0"/>
          <w:sz w:val="28"/>
          <w:szCs w:val="28"/>
          <w:lang w:val="en-US" w:eastAsia="zh-CN" w:bidi="ar"/>
        </w:rPr>
        <w:t>任课教师应具有行业经验</w:t>
      </w:r>
      <w:r>
        <w:rPr>
          <w:rFonts w:hint="eastAsia" w:ascii="仿宋_GB2312" w:hAnsi="宋体" w:cs="宋体"/>
          <w:kern w:val="0"/>
          <w:sz w:val="28"/>
          <w:szCs w:val="28"/>
          <w:lang w:val="en-US" w:eastAsia="zh-CN" w:bidi="ar"/>
        </w:rPr>
        <w:t>超过2年</w:t>
      </w:r>
      <w:r>
        <w:rPr>
          <w:rFonts w:hint="eastAsia" w:ascii="仿宋_GB2312" w:hAnsi="宋体" w:eastAsia="仿宋_GB2312" w:cs="宋体"/>
          <w:kern w:val="0"/>
          <w:sz w:val="28"/>
          <w:szCs w:val="28"/>
          <w:lang w:val="en-US" w:eastAsia="zh-CN" w:bidi="ar"/>
        </w:rPr>
        <w:t>。</w:t>
      </w:r>
    </w:p>
    <w:p w14:paraId="14514DD5">
      <w:pPr>
        <w:pStyle w:val="2"/>
        <w:ind w:firstLine="653"/>
      </w:pPr>
      <w:bookmarkStart w:id="53" w:name="_Toc28766"/>
      <w:bookmarkStart w:id="54" w:name="_Toc502337269"/>
      <w:bookmarkStart w:id="55" w:name="_Toc29184"/>
      <w:r>
        <w:rPr>
          <w:rFonts w:hint="eastAsia"/>
        </w:rPr>
        <w:t>十、其它说明</w:t>
      </w:r>
      <w:bookmarkEnd w:id="53"/>
      <w:bookmarkEnd w:id="54"/>
      <w:bookmarkEnd w:id="55"/>
    </w:p>
    <w:bookmarkEnd w:id="3"/>
    <w:bookmarkEnd w:id="4"/>
    <w:bookmarkEnd w:id="5"/>
    <w:bookmarkEnd w:id="50"/>
    <w:p w14:paraId="6FC7133E">
      <w:pPr>
        <w:ind w:firstLine="560"/>
        <w:rPr>
          <w:rFonts w:ascii="仿宋_GB2312" w:hAnsi="宋体" w:cs="宋体"/>
          <w:kern w:val="0"/>
          <w:szCs w:val="28"/>
        </w:rPr>
      </w:pPr>
    </w:p>
    <w:sectPr>
      <w:headerReference r:id="rId12" w:type="default"/>
      <w:footerReference r:id="rId13" w:type="default"/>
      <w:pgSz w:w="11906" w:h="16838"/>
      <w:pgMar w:top="1440" w:right="1800" w:bottom="1440" w:left="1800" w:header="851" w:footer="992"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000247B" w:usb2="00000009" w:usb3="00000000" w:csb0="200001FF" w:csb1="00000000"/>
  </w:font>
  <w:font w:name="方正流行体简体">
    <w:altName w:val="宋体"/>
    <w:panose1 w:val="020B0604020202020204"/>
    <w:charset w:val="86"/>
    <w:family w:val="script"/>
    <w:pitch w:val="default"/>
    <w:sig w:usb0="00000000" w:usb1="00000000" w:usb2="00000000" w:usb3="00000000" w:csb0="00040000" w:csb1="00000000"/>
  </w:font>
  <w:font w:name="隶书">
    <w:panose1 w:val="0201050906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3AD82">
    <w:pPr>
      <w:pStyle w:val="9"/>
      <w:ind w:firstLine="360"/>
      <w:jc w:val="center"/>
    </w:pPr>
    <w:r>
      <w:rPr>
        <w:lang w:val="zh-CN"/>
      </w:rPr>
      <w:t xml:space="preserve"> </w:t>
    </w:r>
  </w:p>
  <w:p w14:paraId="521A434B">
    <w:pPr>
      <w:pStyle w:val="9"/>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66F6F6">
    <w:pPr>
      <w:pStyle w:val="9"/>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8981A1">
    <w:pPr>
      <w:pStyle w:val="9"/>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E0D54F">
    <w:pPr>
      <w:pStyle w:val="9"/>
      <w:ind w:firstLine="360"/>
      <w:jc w:val="center"/>
    </w:pPr>
    <w:r>
      <w:rPr>
        <w:lang w:val="zh-CN"/>
      </w:rPr>
      <w:t xml:space="preserve"> </w:t>
    </w:r>
  </w:p>
  <w:p w14:paraId="2E4943B8">
    <w:pPr>
      <w:pStyle w:val="9"/>
      <w:ind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60BBCC">
    <w:pPr>
      <w:pStyle w:val="9"/>
      <w:ind w:firstLine="360"/>
      <w:jc w:val="center"/>
    </w:pPr>
    <w:r>
      <w:rPr>
        <w:lang w:val="zh-CN"/>
      </w:rPr>
      <w:t xml:space="preserve"> </w:t>
    </w:r>
  </w:p>
  <w:p w14:paraId="1850CE88">
    <w:pPr>
      <w:pStyle w:val="9"/>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71B4DB">
    <w:pPr>
      <w:pStyle w:val="10"/>
      <w:pBdr>
        <w:bottom w:val="none" w:color="auto" w:sz="0" w:space="1"/>
      </w:pBdr>
      <w:spacing w:line="240" w:lineRule="atLeast"/>
      <w:ind w:firstLine="180" w:firstLineChars="100"/>
      <w:jc w:val="both"/>
      <w:rPr>
        <w:rFonts w:eastAsia="方正流行体简体"/>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05BF28">
    <w:pPr>
      <w:pStyle w:val="10"/>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A06509">
    <w:pPr>
      <w:pStyle w:val="10"/>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9A6B75">
    <w:pPr>
      <w:pStyle w:val="10"/>
      <w:pBdr>
        <w:bottom w:val="none" w:color="auto" w:sz="0" w:space="1"/>
      </w:pBdr>
      <w:spacing w:line="240" w:lineRule="atLeast"/>
      <w:ind w:firstLine="180" w:firstLineChars="100"/>
      <w:jc w:val="both"/>
      <w:rPr>
        <w:rFonts w:eastAsia="方正流行体简体"/>
      </w:rPr>
    </w:pPr>
    <w:r>
      <w:rPr>
        <w:rFonts w:hint="eastAsia" w:eastAsia="方正流行体简体"/>
      </w:rPr>
      <w:drawing>
        <wp:inline distT="0" distB="0" distL="114300" distR="114300">
          <wp:extent cx="1393190" cy="368935"/>
          <wp:effectExtent l="0" t="0" r="16510" b="12065"/>
          <wp:docPr id="5" name="图片 5"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ogo最终_00"/>
                  <pic:cNvPicPr>
                    <a:picLocks noChangeAspect="1"/>
                  </pic:cNvPicPr>
                </pic:nvPicPr>
                <pic:blipFill>
                  <a:blip r:embed="rId1"/>
                  <a:stretch>
                    <a:fillRect/>
                  </a:stretch>
                </pic:blipFill>
                <pic:spPr>
                  <a:xfrm>
                    <a:off x="0" y="0"/>
                    <a:ext cx="1393190" cy="36893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CC08A0"/>
    <w:multiLevelType w:val="singleLevel"/>
    <w:tmpl w:val="98CC08A0"/>
    <w:lvl w:ilvl="0" w:tentative="0">
      <w:start w:val="9"/>
      <w:numFmt w:val="chineseCounting"/>
      <w:suff w:val="nothing"/>
      <w:lvlText w:val="%1、"/>
      <w:lvlJc w:val="left"/>
      <w:rPr>
        <w:rFonts w:hint="eastAsia"/>
      </w:rPr>
    </w:lvl>
  </w:abstractNum>
  <w:abstractNum w:abstractNumId="1">
    <w:nsid w:val="9C46F812"/>
    <w:multiLevelType w:val="singleLevel"/>
    <w:tmpl w:val="9C46F812"/>
    <w:lvl w:ilvl="0" w:tentative="0">
      <w:start w:val="2"/>
      <w:numFmt w:val="chineseCounting"/>
      <w:suff w:val="nothing"/>
      <w:lvlText w:val="%1、"/>
      <w:lvlJc w:val="left"/>
      <w:rPr>
        <w:rFonts w:hint="eastAsia"/>
      </w:rPr>
    </w:lvl>
  </w:abstractNum>
  <w:abstractNum w:abstractNumId="2">
    <w:nsid w:val="F509E762"/>
    <w:multiLevelType w:val="singleLevel"/>
    <w:tmpl w:val="F509E762"/>
    <w:lvl w:ilvl="0" w:tentative="0">
      <w:start w:val="1"/>
      <w:numFmt w:val="decimal"/>
      <w:lvlText w:val="%1."/>
      <w:lvlJc w:val="left"/>
      <w:pPr>
        <w:tabs>
          <w:tab w:val="left" w:pos="312"/>
        </w:tabs>
      </w:pPr>
    </w:lvl>
  </w:abstractNum>
  <w:abstractNum w:abstractNumId="3">
    <w:nsid w:val="2A23BC07"/>
    <w:multiLevelType w:val="singleLevel"/>
    <w:tmpl w:val="2A23BC07"/>
    <w:lvl w:ilvl="0" w:tentative="0">
      <w:start w:val="1"/>
      <w:numFmt w:val="chineseCounting"/>
      <w:suff w:val="nothing"/>
      <w:lvlText w:val="（%1）"/>
      <w:lvlJc w:val="left"/>
      <w:rPr>
        <w:rFonts w:hint="eastAsia"/>
      </w:rPr>
    </w:lvl>
  </w:abstractNum>
  <w:abstractNum w:abstractNumId="4">
    <w:nsid w:val="2D037ED3"/>
    <w:multiLevelType w:val="singleLevel"/>
    <w:tmpl w:val="2D037ED3"/>
    <w:lvl w:ilvl="0" w:tentative="0">
      <w:start w:val="1"/>
      <w:numFmt w:val="decimal"/>
      <w:lvlText w:val="%1."/>
      <w:lvlJc w:val="left"/>
      <w:pPr>
        <w:tabs>
          <w:tab w:val="left" w:pos="312"/>
        </w:tabs>
      </w:pPr>
    </w:lvl>
  </w:abstractNum>
  <w:abstractNum w:abstractNumId="5">
    <w:nsid w:val="2D85F5C8"/>
    <w:multiLevelType w:val="singleLevel"/>
    <w:tmpl w:val="2D85F5C8"/>
    <w:lvl w:ilvl="0" w:tentative="0">
      <w:start w:val="1"/>
      <w:numFmt w:val="decimal"/>
      <w:lvlText w:val="%1."/>
      <w:lvlJc w:val="left"/>
      <w:pPr>
        <w:tabs>
          <w:tab w:val="left" w:pos="312"/>
        </w:tabs>
      </w:pPr>
    </w:lvl>
  </w:abstractNum>
  <w:abstractNum w:abstractNumId="6">
    <w:nsid w:val="490B5BE4"/>
    <w:multiLevelType w:val="singleLevel"/>
    <w:tmpl w:val="490B5BE4"/>
    <w:lvl w:ilvl="0" w:tentative="0">
      <w:start w:val="2"/>
      <w:numFmt w:val="chineseCounting"/>
      <w:suff w:val="nothing"/>
      <w:lvlText w:val="（%1）"/>
      <w:lvlJc w:val="left"/>
      <w:rPr>
        <w:rFonts w:hint="eastAsia"/>
      </w:rPr>
    </w:lvl>
  </w:abstractNum>
  <w:num w:numId="1">
    <w:abstractNumId w:val="1"/>
  </w:num>
  <w:num w:numId="2">
    <w:abstractNumId w:val="3"/>
  </w:num>
  <w:num w:numId="3">
    <w:abstractNumId w:val="5"/>
  </w:num>
  <w:num w:numId="4">
    <w:abstractNumId w:val="4"/>
  </w:num>
  <w:num w:numId="5">
    <w:abstractNumId w:val="2"/>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RiMmVmNWZhNmIzYzM4OTJiZTUyZmY2MTZhZGU2YTUifQ=="/>
  </w:docVars>
  <w:rsids>
    <w:rsidRoot w:val="00172A27"/>
    <w:rsid w:val="00010287"/>
    <w:rsid w:val="000158C8"/>
    <w:rsid w:val="00037198"/>
    <w:rsid w:val="000375A8"/>
    <w:rsid w:val="0007188A"/>
    <w:rsid w:val="00074CE6"/>
    <w:rsid w:val="0008653B"/>
    <w:rsid w:val="00090EF3"/>
    <w:rsid w:val="00094F85"/>
    <w:rsid w:val="000A1C1B"/>
    <w:rsid w:val="000B0F18"/>
    <w:rsid w:val="000B35BF"/>
    <w:rsid w:val="000C04B5"/>
    <w:rsid w:val="000C2990"/>
    <w:rsid w:val="000D20C4"/>
    <w:rsid w:val="000D6D09"/>
    <w:rsid w:val="000F38AE"/>
    <w:rsid w:val="000F46CF"/>
    <w:rsid w:val="000F550A"/>
    <w:rsid w:val="00100708"/>
    <w:rsid w:val="00105E63"/>
    <w:rsid w:val="00146A3A"/>
    <w:rsid w:val="00175FB5"/>
    <w:rsid w:val="00180B79"/>
    <w:rsid w:val="001B6CE5"/>
    <w:rsid w:val="001B77EB"/>
    <w:rsid w:val="001C2D0D"/>
    <w:rsid w:val="001C7F18"/>
    <w:rsid w:val="001E24DF"/>
    <w:rsid w:val="00236E56"/>
    <w:rsid w:val="0024285D"/>
    <w:rsid w:val="0024605A"/>
    <w:rsid w:val="00254379"/>
    <w:rsid w:val="0025646E"/>
    <w:rsid w:val="00256E2B"/>
    <w:rsid w:val="00257929"/>
    <w:rsid w:val="00283618"/>
    <w:rsid w:val="002866D3"/>
    <w:rsid w:val="00291611"/>
    <w:rsid w:val="00293859"/>
    <w:rsid w:val="002B729E"/>
    <w:rsid w:val="002C3F12"/>
    <w:rsid w:val="002C5955"/>
    <w:rsid w:val="002D2D69"/>
    <w:rsid w:val="002D35C9"/>
    <w:rsid w:val="002E5D4E"/>
    <w:rsid w:val="002E75E6"/>
    <w:rsid w:val="002F4B15"/>
    <w:rsid w:val="00315D23"/>
    <w:rsid w:val="00343746"/>
    <w:rsid w:val="0034627C"/>
    <w:rsid w:val="003527C8"/>
    <w:rsid w:val="00393025"/>
    <w:rsid w:val="003943F1"/>
    <w:rsid w:val="0039488F"/>
    <w:rsid w:val="003A0055"/>
    <w:rsid w:val="003A276A"/>
    <w:rsid w:val="003C296D"/>
    <w:rsid w:val="003C4887"/>
    <w:rsid w:val="00420E90"/>
    <w:rsid w:val="00421B4A"/>
    <w:rsid w:val="004223F9"/>
    <w:rsid w:val="00436BFD"/>
    <w:rsid w:val="00444450"/>
    <w:rsid w:val="00450237"/>
    <w:rsid w:val="00451470"/>
    <w:rsid w:val="00474CAE"/>
    <w:rsid w:val="004A01B3"/>
    <w:rsid w:val="004C2D0B"/>
    <w:rsid w:val="004E3CB8"/>
    <w:rsid w:val="00525082"/>
    <w:rsid w:val="0053300E"/>
    <w:rsid w:val="00541337"/>
    <w:rsid w:val="00550B06"/>
    <w:rsid w:val="00563F44"/>
    <w:rsid w:val="00563FA7"/>
    <w:rsid w:val="00564686"/>
    <w:rsid w:val="005735A7"/>
    <w:rsid w:val="0057602E"/>
    <w:rsid w:val="00577132"/>
    <w:rsid w:val="00582729"/>
    <w:rsid w:val="005A700E"/>
    <w:rsid w:val="005B708F"/>
    <w:rsid w:val="005D7110"/>
    <w:rsid w:val="005F05C9"/>
    <w:rsid w:val="00603C22"/>
    <w:rsid w:val="0065768E"/>
    <w:rsid w:val="00665764"/>
    <w:rsid w:val="006724D7"/>
    <w:rsid w:val="006925D3"/>
    <w:rsid w:val="006A6985"/>
    <w:rsid w:val="006D4EB4"/>
    <w:rsid w:val="006F25D1"/>
    <w:rsid w:val="006F400D"/>
    <w:rsid w:val="00703E4B"/>
    <w:rsid w:val="0073131C"/>
    <w:rsid w:val="00754B54"/>
    <w:rsid w:val="0075702C"/>
    <w:rsid w:val="00762712"/>
    <w:rsid w:val="00763524"/>
    <w:rsid w:val="00772CB3"/>
    <w:rsid w:val="00782257"/>
    <w:rsid w:val="00784E49"/>
    <w:rsid w:val="007A1ECB"/>
    <w:rsid w:val="007A2F9C"/>
    <w:rsid w:val="007D290A"/>
    <w:rsid w:val="007D77EA"/>
    <w:rsid w:val="007E72B7"/>
    <w:rsid w:val="007F4531"/>
    <w:rsid w:val="00842DBC"/>
    <w:rsid w:val="008446F5"/>
    <w:rsid w:val="00850B99"/>
    <w:rsid w:val="00872314"/>
    <w:rsid w:val="00875636"/>
    <w:rsid w:val="00885D26"/>
    <w:rsid w:val="00885F99"/>
    <w:rsid w:val="008B7E2C"/>
    <w:rsid w:val="008C0E17"/>
    <w:rsid w:val="008C559B"/>
    <w:rsid w:val="008E5607"/>
    <w:rsid w:val="008E785F"/>
    <w:rsid w:val="008F2620"/>
    <w:rsid w:val="00913C39"/>
    <w:rsid w:val="00922E25"/>
    <w:rsid w:val="00924CCF"/>
    <w:rsid w:val="00962643"/>
    <w:rsid w:val="00980CCE"/>
    <w:rsid w:val="00992186"/>
    <w:rsid w:val="00992A56"/>
    <w:rsid w:val="009973B3"/>
    <w:rsid w:val="009A6E9D"/>
    <w:rsid w:val="009B50F0"/>
    <w:rsid w:val="009C1E3A"/>
    <w:rsid w:val="009C4B9D"/>
    <w:rsid w:val="009D3A60"/>
    <w:rsid w:val="009D5976"/>
    <w:rsid w:val="009E677F"/>
    <w:rsid w:val="009F1CF0"/>
    <w:rsid w:val="009F4FDD"/>
    <w:rsid w:val="009F7201"/>
    <w:rsid w:val="00A05002"/>
    <w:rsid w:val="00A132BF"/>
    <w:rsid w:val="00A320A4"/>
    <w:rsid w:val="00A50419"/>
    <w:rsid w:val="00A55D5B"/>
    <w:rsid w:val="00A639E4"/>
    <w:rsid w:val="00A673D7"/>
    <w:rsid w:val="00A92FC2"/>
    <w:rsid w:val="00A9664F"/>
    <w:rsid w:val="00A96E49"/>
    <w:rsid w:val="00AB52B8"/>
    <w:rsid w:val="00AB5304"/>
    <w:rsid w:val="00AD14B2"/>
    <w:rsid w:val="00B16084"/>
    <w:rsid w:val="00B3044C"/>
    <w:rsid w:val="00B42037"/>
    <w:rsid w:val="00B5546F"/>
    <w:rsid w:val="00B702D3"/>
    <w:rsid w:val="00B774B1"/>
    <w:rsid w:val="00BC6E20"/>
    <w:rsid w:val="00BF15E8"/>
    <w:rsid w:val="00BF3086"/>
    <w:rsid w:val="00C0769A"/>
    <w:rsid w:val="00C12F4A"/>
    <w:rsid w:val="00C26F59"/>
    <w:rsid w:val="00C2787E"/>
    <w:rsid w:val="00C40A99"/>
    <w:rsid w:val="00C436AA"/>
    <w:rsid w:val="00C4409F"/>
    <w:rsid w:val="00C53479"/>
    <w:rsid w:val="00C62D53"/>
    <w:rsid w:val="00C64E28"/>
    <w:rsid w:val="00C84D06"/>
    <w:rsid w:val="00C97FA1"/>
    <w:rsid w:val="00CA5FCE"/>
    <w:rsid w:val="00CB0CE3"/>
    <w:rsid w:val="00CB7501"/>
    <w:rsid w:val="00CD2011"/>
    <w:rsid w:val="00CD4EEC"/>
    <w:rsid w:val="00CE4677"/>
    <w:rsid w:val="00CE5C7F"/>
    <w:rsid w:val="00CF770E"/>
    <w:rsid w:val="00D002CF"/>
    <w:rsid w:val="00D44DAA"/>
    <w:rsid w:val="00D519E3"/>
    <w:rsid w:val="00D5645B"/>
    <w:rsid w:val="00D601BB"/>
    <w:rsid w:val="00D7011C"/>
    <w:rsid w:val="00D74B40"/>
    <w:rsid w:val="00D8629B"/>
    <w:rsid w:val="00D91BBB"/>
    <w:rsid w:val="00DA5244"/>
    <w:rsid w:val="00DA6138"/>
    <w:rsid w:val="00DD4C42"/>
    <w:rsid w:val="00DD58DB"/>
    <w:rsid w:val="00DE0387"/>
    <w:rsid w:val="00DE4D08"/>
    <w:rsid w:val="00DF1AA5"/>
    <w:rsid w:val="00DF6647"/>
    <w:rsid w:val="00E03334"/>
    <w:rsid w:val="00E24646"/>
    <w:rsid w:val="00E6536B"/>
    <w:rsid w:val="00E716AF"/>
    <w:rsid w:val="00E96458"/>
    <w:rsid w:val="00EA7732"/>
    <w:rsid w:val="00EB7705"/>
    <w:rsid w:val="00EC4BE6"/>
    <w:rsid w:val="00EF0B59"/>
    <w:rsid w:val="00EF1B5F"/>
    <w:rsid w:val="00F00AA7"/>
    <w:rsid w:val="00F01C90"/>
    <w:rsid w:val="00F03D56"/>
    <w:rsid w:val="00F13AE7"/>
    <w:rsid w:val="00F13E29"/>
    <w:rsid w:val="00F170B8"/>
    <w:rsid w:val="00F2030D"/>
    <w:rsid w:val="00F350EF"/>
    <w:rsid w:val="00F6105C"/>
    <w:rsid w:val="00F70C6F"/>
    <w:rsid w:val="00F733B8"/>
    <w:rsid w:val="00F97C40"/>
    <w:rsid w:val="00FA7642"/>
    <w:rsid w:val="00FC2753"/>
    <w:rsid w:val="00FC6B31"/>
    <w:rsid w:val="00FD0E2D"/>
    <w:rsid w:val="00FD7241"/>
    <w:rsid w:val="00FE1860"/>
    <w:rsid w:val="00FE6999"/>
    <w:rsid w:val="011D4067"/>
    <w:rsid w:val="04F36FCB"/>
    <w:rsid w:val="06264DD4"/>
    <w:rsid w:val="071F59E5"/>
    <w:rsid w:val="07547007"/>
    <w:rsid w:val="0AC74471"/>
    <w:rsid w:val="0B4B3EED"/>
    <w:rsid w:val="0D015F8E"/>
    <w:rsid w:val="13C6123F"/>
    <w:rsid w:val="152B70E8"/>
    <w:rsid w:val="15D56A42"/>
    <w:rsid w:val="16584725"/>
    <w:rsid w:val="169325B8"/>
    <w:rsid w:val="172F601F"/>
    <w:rsid w:val="1761002E"/>
    <w:rsid w:val="17735D8C"/>
    <w:rsid w:val="18493218"/>
    <w:rsid w:val="18BA29FE"/>
    <w:rsid w:val="1D1A4DAC"/>
    <w:rsid w:val="1DD153BE"/>
    <w:rsid w:val="1E0C36DB"/>
    <w:rsid w:val="20B401EC"/>
    <w:rsid w:val="2392755E"/>
    <w:rsid w:val="273677B9"/>
    <w:rsid w:val="29790743"/>
    <w:rsid w:val="2A6039DB"/>
    <w:rsid w:val="2D276405"/>
    <w:rsid w:val="2E7B7787"/>
    <w:rsid w:val="2F6A77B8"/>
    <w:rsid w:val="30611F0A"/>
    <w:rsid w:val="317D4E81"/>
    <w:rsid w:val="31864093"/>
    <w:rsid w:val="33670DA7"/>
    <w:rsid w:val="33BD324E"/>
    <w:rsid w:val="34710AAF"/>
    <w:rsid w:val="35361213"/>
    <w:rsid w:val="3A9340B4"/>
    <w:rsid w:val="3BB74E5E"/>
    <w:rsid w:val="3DD96F86"/>
    <w:rsid w:val="3EBC5DDD"/>
    <w:rsid w:val="3ECA0ADA"/>
    <w:rsid w:val="3FF42CA8"/>
    <w:rsid w:val="40F927D7"/>
    <w:rsid w:val="42F71DA0"/>
    <w:rsid w:val="44883AC1"/>
    <w:rsid w:val="44890655"/>
    <w:rsid w:val="467F6331"/>
    <w:rsid w:val="46F474F2"/>
    <w:rsid w:val="47DB4379"/>
    <w:rsid w:val="489268FC"/>
    <w:rsid w:val="49564CEF"/>
    <w:rsid w:val="4CCD5FB7"/>
    <w:rsid w:val="4DBE0710"/>
    <w:rsid w:val="4E053309"/>
    <w:rsid w:val="53536704"/>
    <w:rsid w:val="53596C0B"/>
    <w:rsid w:val="54A518C5"/>
    <w:rsid w:val="562A3B61"/>
    <w:rsid w:val="575F1A59"/>
    <w:rsid w:val="58E10BDE"/>
    <w:rsid w:val="59987818"/>
    <w:rsid w:val="59B04FCC"/>
    <w:rsid w:val="59E05DAC"/>
    <w:rsid w:val="5A502305"/>
    <w:rsid w:val="5A63129F"/>
    <w:rsid w:val="5ADE57B1"/>
    <w:rsid w:val="5BCF6EC1"/>
    <w:rsid w:val="5E8A4E8C"/>
    <w:rsid w:val="5FDC79DB"/>
    <w:rsid w:val="652B7030"/>
    <w:rsid w:val="685B2491"/>
    <w:rsid w:val="694C5B6A"/>
    <w:rsid w:val="6C371035"/>
    <w:rsid w:val="6C932E12"/>
    <w:rsid w:val="6D695A44"/>
    <w:rsid w:val="6E8A7606"/>
    <w:rsid w:val="70D22201"/>
    <w:rsid w:val="717D3BE6"/>
    <w:rsid w:val="71820930"/>
    <w:rsid w:val="73783176"/>
    <w:rsid w:val="76AA6A38"/>
    <w:rsid w:val="79363CA6"/>
    <w:rsid w:val="7AA3575A"/>
    <w:rsid w:val="7BB35BD5"/>
    <w:rsid w:val="7C1450DF"/>
    <w:rsid w:val="7C482314"/>
    <w:rsid w:val="7D3D24A4"/>
    <w:rsid w:val="7D7E6007"/>
    <w:rsid w:val="B65F64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spacing w:line="560" w:lineRule="exact"/>
      <w:ind w:firstLine="1160" w:firstLineChars="200"/>
      <w:jc w:val="both"/>
    </w:pPr>
    <w:rPr>
      <w:rFonts w:ascii="Times New Roman" w:hAnsi="Times New Roman" w:eastAsia="仿宋_GB2312" w:cs="Times New Roman"/>
      <w:kern w:val="2"/>
      <w:sz w:val="28"/>
      <w:szCs w:val="22"/>
      <w:lang w:val="en-US" w:eastAsia="zh-CN" w:bidi="ar-SA"/>
    </w:rPr>
  </w:style>
  <w:style w:type="paragraph" w:styleId="2">
    <w:name w:val="heading 1"/>
    <w:basedOn w:val="1"/>
    <w:next w:val="1"/>
    <w:link w:val="21"/>
    <w:autoRedefine/>
    <w:qFormat/>
    <w:uiPriority w:val="0"/>
    <w:pPr>
      <w:keepNext/>
      <w:keepLines/>
      <w:spacing w:before="340" w:after="330" w:line="578" w:lineRule="auto"/>
      <w:outlineLvl w:val="0"/>
    </w:pPr>
    <w:rPr>
      <w:rFonts w:eastAsia="黑体"/>
      <w:b/>
      <w:bCs/>
      <w:kern w:val="44"/>
      <w:sz w:val="32"/>
      <w:szCs w:val="44"/>
    </w:rPr>
  </w:style>
  <w:style w:type="paragraph" w:styleId="3">
    <w:name w:val="heading 2"/>
    <w:basedOn w:val="1"/>
    <w:next w:val="1"/>
    <w:link w:val="22"/>
    <w:autoRedefine/>
    <w:qFormat/>
    <w:uiPriority w:val="9"/>
    <w:pPr>
      <w:keepNext/>
      <w:keepLines/>
      <w:spacing w:before="260" w:after="260" w:line="440" w:lineRule="exact"/>
      <w:outlineLvl w:val="1"/>
    </w:pPr>
    <w:rPr>
      <w:b/>
      <w:bCs/>
      <w:szCs w:val="32"/>
    </w:rPr>
  </w:style>
  <w:style w:type="paragraph" w:styleId="4">
    <w:name w:val="heading 3"/>
    <w:basedOn w:val="1"/>
    <w:next w:val="1"/>
    <w:link w:val="23"/>
    <w:autoRedefine/>
    <w:qFormat/>
    <w:uiPriority w:val="9"/>
    <w:pPr>
      <w:keepNext/>
      <w:keepLines/>
      <w:spacing w:before="260" w:after="260" w:line="360" w:lineRule="exact"/>
      <w:outlineLvl w:val="2"/>
    </w:pPr>
    <w:rPr>
      <w:bCs/>
      <w:szCs w:val="32"/>
    </w:rPr>
  </w:style>
  <w:style w:type="paragraph" w:styleId="5">
    <w:name w:val="heading 4"/>
    <w:basedOn w:val="1"/>
    <w:next w:val="1"/>
    <w:link w:val="24"/>
    <w:autoRedefine/>
    <w:qFormat/>
    <w:uiPriority w:val="9"/>
    <w:pPr>
      <w:keepNext/>
      <w:keepLines/>
      <w:spacing w:before="280" w:after="290" w:line="376" w:lineRule="auto"/>
      <w:outlineLvl w:val="3"/>
    </w:pPr>
    <w:rPr>
      <w:rFonts w:ascii="Cambria" w:hAnsi="Cambria"/>
      <w:b/>
      <w:bCs/>
      <w:szCs w:val="28"/>
    </w:rPr>
  </w:style>
  <w:style w:type="character" w:default="1" w:styleId="17">
    <w:name w:val="Default Paragraph Font"/>
    <w:autoRedefine/>
    <w:semiHidden/>
    <w:unhideWhenUsed/>
    <w:qFormat/>
    <w:uiPriority w:val="1"/>
  </w:style>
  <w:style w:type="table" w:default="1" w:styleId="15">
    <w:name w:val="Normal Table"/>
    <w:autoRedefine/>
    <w:semiHidden/>
    <w:unhideWhenUsed/>
    <w:qFormat/>
    <w:uiPriority w:val="99"/>
    <w:tblPr>
      <w:tblCellMar>
        <w:top w:w="0" w:type="dxa"/>
        <w:left w:w="108" w:type="dxa"/>
        <w:bottom w:w="0" w:type="dxa"/>
        <w:right w:w="108" w:type="dxa"/>
      </w:tblCellMar>
    </w:tblPr>
  </w:style>
  <w:style w:type="paragraph" w:styleId="6">
    <w:name w:val="annotation text"/>
    <w:basedOn w:val="1"/>
    <w:qFormat/>
    <w:uiPriority w:val="0"/>
    <w:pPr>
      <w:jc w:val="left"/>
    </w:pPr>
  </w:style>
  <w:style w:type="paragraph" w:styleId="7">
    <w:name w:val="toc 3"/>
    <w:basedOn w:val="1"/>
    <w:next w:val="1"/>
    <w:autoRedefine/>
    <w:qFormat/>
    <w:uiPriority w:val="39"/>
    <w:pPr>
      <w:ind w:left="840" w:leftChars="400"/>
    </w:pPr>
  </w:style>
  <w:style w:type="paragraph" w:styleId="8">
    <w:name w:val="Balloon Text"/>
    <w:basedOn w:val="1"/>
    <w:link w:val="20"/>
    <w:autoRedefine/>
    <w:qFormat/>
    <w:uiPriority w:val="0"/>
    <w:rPr>
      <w:sz w:val="18"/>
      <w:szCs w:val="18"/>
    </w:rPr>
  </w:style>
  <w:style w:type="paragraph" w:styleId="9">
    <w:name w:val="footer"/>
    <w:basedOn w:val="1"/>
    <w:link w:val="31"/>
    <w:autoRedefine/>
    <w:unhideWhenUsed/>
    <w:qFormat/>
    <w:uiPriority w:val="99"/>
    <w:pPr>
      <w:tabs>
        <w:tab w:val="center" w:pos="4153"/>
        <w:tab w:val="right" w:pos="8306"/>
      </w:tabs>
      <w:snapToGrid w:val="0"/>
      <w:jc w:val="left"/>
    </w:pPr>
    <w:rPr>
      <w:sz w:val="18"/>
      <w:szCs w:val="18"/>
    </w:rPr>
  </w:style>
  <w:style w:type="paragraph" w:styleId="10">
    <w:name w:val="header"/>
    <w:basedOn w:val="1"/>
    <w:link w:val="32"/>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unhideWhenUsed/>
    <w:qFormat/>
    <w:uiPriority w:val="39"/>
    <w:pPr>
      <w:spacing w:before="120" w:after="120"/>
      <w:jc w:val="left"/>
    </w:pPr>
    <w:rPr>
      <w:b/>
      <w:bCs/>
      <w:caps/>
      <w:szCs w:val="20"/>
    </w:rPr>
  </w:style>
  <w:style w:type="paragraph" w:styleId="12">
    <w:name w:val="table of figures"/>
    <w:basedOn w:val="1"/>
    <w:next w:val="1"/>
    <w:autoRedefine/>
    <w:qFormat/>
    <w:uiPriority w:val="0"/>
    <w:pPr>
      <w:ind w:left="200" w:leftChars="200" w:hanging="200" w:hangingChars="200"/>
    </w:pPr>
  </w:style>
  <w:style w:type="paragraph" w:styleId="13">
    <w:name w:val="toc 2"/>
    <w:basedOn w:val="1"/>
    <w:next w:val="1"/>
    <w:autoRedefine/>
    <w:unhideWhenUsed/>
    <w:qFormat/>
    <w:uiPriority w:val="39"/>
    <w:pPr>
      <w:ind w:left="210"/>
      <w:jc w:val="left"/>
    </w:pPr>
    <w:rPr>
      <w:smallCaps/>
      <w:sz w:val="24"/>
      <w:szCs w:val="20"/>
    </w:rPr>
  </w:style>
  <w:style w:type="paragraph" w:styleId="14">
    <w:name w:val="HTML Preformatted"/>
    <w:basedOn w:val="1"/>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table" w:styleId="16">
    <w:name w:val="Table Grid"/>
    <w:basedOn w:val="15"/>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Strong"/>
    <w:basedOn w:val="17"/>
    <w:qFormat/>
    <w:uiPriority w:val="0"/>
    <w:rPr>
      <w:b/>
    </w:rPr>
  </w:style>
  <w:style w:type="character" w:styleId="19">
    <w:name w:val="Hyperlink"/>
    <w:autoRedefine/>
    <w:unhideWhenUsed/>
    <w:qFormat/>
    <w:uiPriority w:val="99"/>
    <w:rPr>
      <w:color w:val="0000FF"/>
      <w:u w:val="single"/>
    </w:rPr>
  </w:style>
  <w:style w:type="character" w:customStyle="1" w:styleId="20">
    <w:name w:val="批注框文本 字符"/>
    <w:basedOn w:val="17"/>
    <w:link w:val="8"/>
    <w:autoRedefine/>
    <w:qFormat/>
    <w:uiPriority w:val="0"/>
    <w:rPr>
      <w:rFonts w:ascii="Calibri" w:hAnsi="Calibri"/>
      <w:kern w:val="2"/>
      <w:sz w:val="18"/>
      <w:szCs w:val="18"/>
    </w:rPr>
  </w:style>
  <w:style w:type="character" w:customStyle="1" w:styleId="21">
    <w:name w:val="标题 1 字符"/>
    <w:basedOn w:val="17"/>
    <w:link w:val="2"/>
    <w:autoRedefine/>
    <w:qFormat/>
    <w:uiPriority w:val="0"/>
    <w:rPr>
      <w:rFonts w:ascii="Calibri" w:hAnsi="Calibri" w:eastAsia="黑体"/>
      <w:b/>
      <w:bCs/>
      <w:kern w:val="44"/>
      <w:sz w:val="32"/>
      <w:szCs w:val="44"/>
    </w:rPr>
  </w:style>
  <w:style w:type="character" w:customStyle="1" w:styleId="22">
    <w:name w:val="标题 2 字符"/>
    <w:basedOn w:val="17"/>
    <w:link w:val="3"/>
    <w:autoRedefine/>
    <w:qFormat/>
    <w:uiPriority w:val="9"/>
    <w:rPr>
      <w:rFonts w:ascii="Times New Roman" w:hAnsi="Times New Roman" w:eastAsia="仿宋_GB2312"/>
      <w:b/>
      <w:bCs/>
      <w:kern w:val="2"/>
      <w:sz w:val="28"/>
      <w:szCs w:val="32"/>
    </w:rPr>
  </w:style>
  <w:style w:type="character" w:customStyle="1" w:styleId="23">
    <w:name w:val="标题 3 字符"/>
    <w:basedOn w:val="17"/>
    <w:link w:val="4"/>
    <w:autoRedefine/>
    <w:qFormat/>
    <w:uiPriority w:val="9"/>
    <w:rPr>
      <w:rFonts w:ascii="Calibri" w:hAnsi="Calibri" w:eastAsia="仿宋_GB2312"/>
      <w:bCs/>
      <w:kern w:val="2"/>
      <w:sz w:val="28"/>
      <w:szCs w:val="32"/>
    </w:rPr>
  </w:style>
  <w:style w:type="character" w:customStyle="1" w:styleId="24">
    <w:name w:val="标题 4 字符"/>
    <w:basedOn w:val="17"/>
    <w:link w:val="5"/>
    <w:autoRedefine/>
    <w:qFormat/>
    <w:uiPriority w:val="9"/>
    <w:rPr>
      <w:rFonts w:ascii="Cambria" w:hAnsi="Cambria"/>
      <w:b/>
      <w:bCs/>
      <w:kern w:val="2"/>
      <w:sz w:val="28"/>
      <w:szCs w:val="28"/>
    </w:rPr>
  </w:style>
  <w:style w:type="paragraph" w:customStyle="1" w:styleId="25">
    <w:name w:val="TOC 标题1"/>
    <w:basedOn w:val="2"/>
    <w:next w:val="1"/>
    <w:autoRedefine/>
    <w:semiHidden/>
    <w:unhideWhenUsed/>
    <w:qFormat/>
    <w:uiPriority w:val="39"/>
    <w:pPr>
      <w:widowControl/>
      <w:spacing w:before="480" w:after="0" w:line="276" w:lineRule="auto"/>
      <w:jc w:val="left"/>
      <w:outlineLvl w:val="9"/>
    </w:pPr>
    <w:rPr>
      <w:rFonts w:asciiTheme="majorHAnsi" w:hAnsiTheme="majorHAnsi" w:eastAsiaTheme="majorEastAsia" w:cstheme="majorBidi"/>
      <w:color w:val="2E75B6" w:themeColor="accent1" w:themeShade="BF"/>
      <w:kern w:val="0"/>
      <w:sz w:val="28"/>
      <w:szCs w:val="28"/>
    </w:rPr>
  </w:style>
  <w:style w:type="paragraph" w:customStyle="1" w:styleId="26">
    <w:name w:val="WPSOffice手动目录 1"/>
    <w:autoRedefine/>
    <w:qFormat/>
    <w:uiPriority w:val="0"/>
    <w:rPr>
      <w:rFonts w:ascii="Times New Roman" w:hAnsi="Times New Roman" w:eastAsia="宋体" w:cs="Times New Roman"/>
      <w:lang w:val="en-US" w:eastAsia="zh-CN" w:bidi="ar-SA"/>
    </w:rPr>
  </w:style>
  <w:style w:type="paragraph" w:customStyle="1" w:styleId="27">
    <w:name w:val="WPSOffice手动目录 2"/>
    <w:autoRedefine/>
    <w:qFormat/>
    <w:uiPriority w:val="0"/>
    <w:pPr>
      <w:ind w:left="200" w:leftChars="200"/>
    </w:pPr>
    <w:rPr>
      <w:rFonts w:ascii="Times New Roman" w:hAnsi="Times New Roman" w:eastAsia="宋体" w:cs="Times New Roman"/>
      <w:lang w:val="en-US" w:eastAsia="zh-CN" w:bidi="ar-SA"/>
    </w:rPr>
  </w:style>
  <w:style w:type="character" w:customStyle="1" w:styleId="28">
    <w:name w:val="style41"/>
    <w:basedOn w:val="17"/>
    <w:autoRedefine/>
    <w:qFormat/>
    <w:uiPriority w:val="0"/>
    <w:rPr>
      <w:sz w:val="18"/>
    </w:rPr>
  </w:style>
  <w:style w:type="paragraph" w:customStyle="1" w:styleId="29">
    <w:name w:val="msolistparagraph"/>
    <w:basedOn w:val="1"/>
    <w:autoRedefine/>
    <w:qFormat/>
    <w:uiPriority w:val="0"/>
    <w:pPr>
      <w:ind w:firstLine="420"/>
    </w:pPr>
    <w:rPr>
      <w:rFonts w:ascii="Calibri" w:hAnsi="Calibri" w:eastAsia="宋体"/>
      <w:sz w:val="21"/>
    </w:rPr>
  </w:style>
  <w:style w:type="paragraph" w:customStyle="1" w:styleId="30">
    <w:name w:val="Table Paragraph"/>
    <w:basedOn w:val="1"/>
    <w:autoRedefine/>
    <w:qFormat/>
    <w:uiPriority w:val="1"/>
    <w:pPr>
      <w:autoSpaceDE w:val="0"/>
      <w:autoSpaceDN w:val="0"/>
      <w:spacing w:line="240" w:lineRule="auto"/>
      <w:ind w:firstLine="0" w:firstLineChars="0"/>
      <w:jc w:val="left"/>
    </w:pPr>
    <w:rPr>
      <w:rFonts w:ascii="宋体" w:hAnsi="宋体" w:eastAsia="宋体" w:cs="宋体"/>
      <w:kern w:val="0"/>
      <w:sz w:val="22"/>
      <w:lang w:val="zh-CN" w:bidi="zh-CN"/>
    </w:rPr>
  </w:style>
  <w:style w:type="character" w:customStyle="1" w:styleId="31">
    <w:name w:val="页脚 字符"/>
    <w:basedOn w:val="17"/>
    <w:link w:val="9"/>
    <w:autoRedefine/>
    <w:qFormat/>
    <w:uiPriority w:val="99"/>
    <w:rPr>
      <w:rFonts w:eastAsia="仿宋_GB2312"/>
      <w:kern w:val="2"/>
      <w:sz w:val="18"/>
      <w:szCs w:val="18"/>
    </w:rPr>
  </w:style>
  <w:style w:type="character" w:customStyle="1" w:styleId="32">
    <w:name w:val="页眉 字符"/>
    <w:basedOn w:val="17"/>
    <w:link w:val="10"/>
    <w:autoRedefine/>
    <w:qFormat/>
    <w:uiPriority w:val="99"/>
    <w:rPr>
      <w:rFonts w:eastAsia="仿宋_GB2312"/>
      <w:kern w:val="2"/>
      <w:sz w:val="18"/>
      <w:szCs w:val="18"/>
    </w:rPr>
  </w:style>
  <w:style w:type="paragraph" w:styleId="33">
    <w:name w:val="List Paragraph"/>
    <w:basedOn w:val="1"/>
    <w:autoRedefine/>
    <w:qFormat/>
    <w:uiPriority w:val="99"/>
    <w:pPr>
      <w:ind w:firstLine="420"/>
    </w:pPr>
  </w:style>
  <w:style w:type="paragraph" w:customStyle="1" w:styleId="34">
    <w:name w:val="其他"/>
    <w:basedOn w:val="1"/>
    <w:autoRedefine/>
    <w:qFormat/>
    <w:uiPriority w:val="0"/>
    <w:pPr>
      <w:spacing w:line="360" w:lineRule="auto"/>
      <w:ind w:firstLine="400"/>
    </w:pPr>
    <w:rPr>
      <w:rFonts w:ascii="宋体" w:hAnsi="宋体" w:eastAsia="宋体" w:cs="宋体"/>
      <w:sz w:val="2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xml"/><Relationship Id="rId16" Type="http://schemas.openxmlformats.org/officeDocument/2006/relationships/numbering" Target="numbering.xml"/><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http://schemas.openxmlformats.org/officeDocument/2006/bibliography" xmlns:b="http://schemas.openxmlformats.org/officeDocument/2006/bibliography" SelectedStyle="\APA.XSL" StyleName="APA"/>
</file>

<file path=customXml/itemProps1.xml><?xml version="1.0" encoding="utf-8"?>
<ds:datastoreItem xmlns:ds="http://schemas.openxmlformats.org/officeDocument/2006/customXml" ds:itemID="{D23E636E-9AED-417C-BF79-032C6A13973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17</Pages>
  <Words>6128</Words>
  <Characters>6199</Characters>
  <Lines>15</Lines>
  <Paragraphs>5</Paragraphs>
  <TotalTime>0</TotalTime>
  <ScaleCrop>false</ScaleCrop>
  <LinksUpToDate>false</LinksUpToDate>
  <CharactersWithSpaces>6347</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2024-07-04T16:12:00Z</dcterms:created>
  <dc:creator>玄冰石</dc:creator>
  <cp:lastModifiedBy>xxxxx</cp:lastModifiedBy>
  <cp:lastPrinted>2024-07-02T13:20:00Z</cp:lastPrinted>
  <dcterms:modified xsi:type="dcterms:W3CDTF">2025-08-11T08:45:49Z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ICV">
    <vt:lpwstr>EFB11AB239F2EF517B4A1B68FCEADF63_43</vt:lpwstr>
  </property>
  <property fmtid="{D5CDD505-2E9C-101B-9397-08002B2CF9AE}" pid="4" name="KSOTemplateDocerSaveRecord">
    <vt:lpwstr>eyJoZGlkIjoiZmIyY2NiMGIwODZjZjM1OGY0MDgyZmVjMjA0NGY3ZjciLCJ1c2VySWQiOiIxNDAwODIwNzI4In0=</vt:lpwstr>
  </property>
</Properties>
</file>