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B8B697">
      <w:pPr>
        <w:widowControl/>
        <w:spacing w:line="240" w:lineRule="auto"/>
        <w:ind w:firstLine="0" w:firstLineChars="0"/>
        <w:rPr>
          <w:rFonts w:eastAsia="方正流行体简体"/>
          <w:spacing w:val="-10"/>
          <w:sz w:val="60"/>
          <w:szCs w:val="60"/>
        </w:rPr>
      </w:pPr>
      <w:r>
        <w:rPr>
          <w:rFonts w:hint="eastAsia" w:eastAsia="方正流行体简体"/>
          <w:spacing w:val="-10"/>
          <w:sz w:val="60"/>
          <w:szCs w:val="60"/>
        </w:rPr>
        <w:drawing>
          <wp:inline distT="0" distB="0" distL="114300" distR="11430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14F250">
      <w:pPr>
        <w:spacing w:line="240" w:lineRule="auto"/>
        <w:ind w:firstLine="0" w:firstLineChars="0"/>
        <w:rPr>
          <w:rFonts w:ascii="隶书" w:eastAsia="隶书"/>
          <w:spacing w:val="-60"/>
          <w:sz w:val="32"/>
          <w:szCs w:val="32"/>
        </w:rPr>
      </w:pPr>
    </w:p>
    <w:p w14:paraId="1C80A11F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545A4213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144"/>
          <w:szCs w:val="144"/>
        </w:rPr>
      </w:pPr>
      <w:r>
        <w:rPr>
          <w:rFonts w:hint="eastAsia" w:ascii="黑体" w:hAnsi="楷体" w:eastAsia="黑体"/>
          <w:b/>
          <w:sz w:val="144"/>
          <w:szCs w:val="144"/>
        </w:rPr>
        <w:t>“</w:t>
      </w:r>
      <w:r>
        <w:rPr>
          <w:rFonts w:hint="eastAsia" w:ascii="黑体" w:hAnsi="楷体" w:eastAsia="黑体"/>
          <w:b/>
          <w:sz w:val="144"/>
          <w:szCs w:val="144"/>
          <w:lang w:val="en-US" w:eastAsia="zh-CN"/>
        </w:rPr>
        <w:t>财务管理</w:t>
      </w:r>
      <w:r>
        <w:rPr>
          <w:rFonts w:hint="eastAsia" w:ascii="黑体" w:hAnsi="楷体" w:eastAsia="黑体"/>
          <w:b/>
          <w:sz w:val="144"/>
          <w:szCs w:val="144"/>
        </w:rPr>
        <w:t>”</w:t>
      </w:r>
    </w:p>
    <w:p w14:paraId="457F23E1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72"/>
          <w:szCs w:val="72"/>
        </w:rPr>
      </w:pPr>
    </w:p>
    <w:p w14:paraId="22E58698">
      <w:pPr>
        <w:spacing w:line="240" w:lineRule="auto"/>
        <w:ind w:firstLine="0" w:firstLineChars="0"/>
        <w:jc w:val="center"/>
      </w:pPr>
      <w:r>
        <w:rPr>
          <w:rFonts w:hint="eastAsia" w:ascii="黑体" w:hAnsi="楷体" w:eastAsia="黑体"/>
          <w:b/>
          <w:sz w:val="72"/>
          <w:szCs w:val="72"/>
        </w:rPr>
        <w:t>课程标准</w:t>
      </w:r>
    </w:p>
    <w:p w14:paraId="7D67D885">
      <w:pPr>
        <w:ind w:firstLine="560"/>
      </w:pPr>
    </w:p>
    <w:p w14:paraId="3FF7C40A">
      <w:pPr>
        <w:ind w:firstLine="0" w:firstLineChars="0"/>
      </w:pPr>
    </w:p>
    <w:tbl>
      <w:tblPr>
        <w:tblStyle w:val="14"/>
        <w:tblpPr w:leftFromText="180" w:rightFromText="180" w:vertAnchor="text" w:horzAnchor="page" w:tblpX="1592" w:tblpY="282"/>
        <w:tblOverlap w:val="never"/>
        <w:tblW w:w="85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860"/>
        <w:gridCol w:w="2208"/>
        <w:gridCol w:w="1801"/>
        <w:gridCol w:w="2647"/>
      </w:tblGrid>
      <w:tr w14:paraId="224780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42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B09C50B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课程负责人</w:t>
            </w:r>
          </w:p>
          <w:p w14:paraId="0C4BCC9D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7537B04B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6F9E7A89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教研组组长</w:t>
            </w:r>
          </w:p>
          <w:p w14:paraId="0FEF970E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49A94C4E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  <w:tr w14:paraId="599EA1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21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CB0FF2A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6BC3840E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6DE4C5B2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48D89D3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教学管理部</w:t>
            </w:r>
          </w:p>
          <w:p w14:paraId="39811E53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0D4EBEE8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</w:tbl>
    <w:p w14:paraId="36029102">
      <w:pPr>
        <w:ind w:firstLine="0" w:firstLineChars="0"/>
      </w:pPr>
    </w:p>
    <w:p w14:paraId="3A0FFAEB">
      <w:pPr>
        <w:snapToGrid w:val="0"/>
        <w:spacing w:line="360" w:lineRule="auto"/>
        <w:ind w:firstLine="720"/>
        <w:jc w:val="center"/>
        <w:rPr>
          <w:rFonts w:ascii="宋体" w:hAnsi="宋体" w:cs="宋体"/>
          <w:b/>
          <w:bCs/>
          <w:kern w:val="36"/>
          <w:sz w:val="36"/>
          <w:szCs w:val="36"/>
        </w:rPr>
      </w:pPr>
    </w:p>
    <w:p w14:paraId="79ED7320"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start="1"/>
          <w:cols w:space="425" w:num="1"/>
          <w:docGrid w:type="lines" w:linePitch="312" w:charSpace="0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  <w:lang w:val="en-US" w:eastAsia="zh-CN"/>
        </w:rPr>
        <w:t>5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b/>
          <w:bCs/>
          <w:kern w:val="36"/>
          <w:sz w:val="36"/>
          <w:szCs w:val="36"/>
          <w:lang w:val="en-US" w:eastAsia="zh-CN"/>
        </w:rPr>
        <w:t>8</w:t>
      </w:r>
      <w:r>
        <w:rPr>
          <w:b/>
          <w:bCs/>
          <w:kern w:val="36"/>
          <w:sz w:val="36"/>
          <w:szCs w:val="36"/>
        </w:rPr>
        <w:t>月</w:t>
      </w:r>
    </w:p>
    <w:p w14:paraId="63C2A13B">
      <w:pPr>
        <w:snapToGrid w:val="0"/>
        <w:spacing w:line="360" w:lineRule="auto"/>
        <w:ind w:firstLine="0" w:firstLineChars="0"/>
        <w:rPr>
          <w:b/>
          <w:bCs/>
          <w:kern w:val="36"/>
          <w:sz w:val="36"/>
          <w:szCs w:val="36"/>
        </w:rPr>
      </w:pPr>
    </w:p>
    <w:sdt>
      <w:sdtPr>
        <w:rPr>
          <w:rFonts w:ascii="宋体" w:hAnsi="宋体" w:eastAsia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hint="eastAsia" w:ascii="宋体" w:hAnsi="宋体" w:eastAsia="宋体" w:cs="宋体"/>
          <w:bCs/>
          <w:kern w:val="36"/>
          <w:sz w:val="21"/>
          <w:szCs w:val="36"/>
        </w:rPr>
      </w:sdtEndPr>
      <w:sdtContent>
        <w:p w14:paraId="09A49493">
          <w:pPr>
            <w:spacing w:line="240" w:lineRule="auto"/>
            <w:ind w:firstLine="0" w:firstLineChars="0"/>
            <w:jc w:val="center"/>
            <w:rPr>
              <w:rFonts w:ascii="宋体" w:hAnsi="宋体" w:eastAsia="宋体"/>
              <w:sz w:val="21"/>
            </w:rPr>
          </w:pPr>
        </w:p>
        <w:p w14:paraId="6A367C7D">
          <w:pPr>
            <w:spacing w:line="240" w:lineRule="auto"/>
            <w:ind w:firstLine="0" w:firstLineChars="0"/>
            <w:jc w:val="center"/>
            <w:rPr>
              <w:rFonts w:ascii="黑体" w:hAnsi="黑体" w:eastAsia="黑体" w:cs="黑体"/>
              <w:sz w:val="32"/>
              <w:szCs w:val="32"/>
            </w:rPr>
          </w:pPr>
          <w:r>
            <w:rPr>
              <w:rFonts w:hint="eastAsia" w:ascii="黑体" w:hAnsi="黑体" w:eastAsia="黑体" w:cs="黑体"/>
              <w:sz w:val="32"/>
              <w:szCs w:val="32"/>
            </w:rPr>
            <w:t>目  录</w:t>
          </w:r>
        </w:p>
        <w:p w14:paraId="19917CE2">
          <w:pPr>
            <w:pStyle w:val="11"/>
            <w:tabs>
              <w:tab w:val="right" w:leader="middleDot" w:pos="8306"/>
            </w:tabs>
            <w:spacing w:line="520" w:lineRule="exact"/>
            <w:ind w:firstLine="561" w:firstLineChars="266"/>
          </w:pP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separate"/>
          </w:r>
          <w:r>
            <w:fldChar w:fldCharType="begin"/>
          </w:r>
          <w:r>
            <w:instrText xml:space="preserve"> HYPERLINK \l "_Toc2179" </w:instrText>
          </w:r>
          <w:r>
            <w:fldChar w:fldCharType="separate"/>
          </w:r>
          <w:r>
            <w:rPr>
              <w:rFonts w:hint="eastAsia"/>
            </w:rPr>
            <w:t>一、课程基本信息</w:t>
          </w:r>
          <w:r>
            <w:tab/>
          </w:r>
          <w:r>
            <w:fldChar w:fldCharType="begin"/>
          </w:r>
          <w:r>
            <w:instrText xml:space="preserve"> PAGEREF _Toc2179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3CB7A713">
          <w:pPr>
            <w:pStyle w:val="11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"_Toc4255" </w:instrText>
          </w:r>
          <w:r>
            <w:fldChar w:fldCharType="separate"/>
          </w:r>
          <w:r>
            <w:rPr>
              <w:rFonts w:hint="eastAsia"/>
            </w:rPr>
            <w:t>二、课程任务</w:t>
          </w:r>
          <w:r>
            <w:tab/>
          </w:r>
          <w:r>
            <w:fldChar w:fldCharType="begin"/>
          </w:r>
          <w:r>
            <w:instrText xml:space="preserve"> PAGEREF _Toc4255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55743C25">
          <w:pPr>
            <w:pStyle w:val="11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"_Toc1651" </w:instrText>
          </w:r>
          <w:r>
            <w:fldChar w:fldCharType="separate"/>
          </w:r>
          <w:r>
            <w:rPr>
              <w:rFonts w:hint="eastAsia"/>
            </w:rPr>
            <w:t>三、课程目标</w:t>
          </w:r>
          <w:r>
            <w:tab/>
          </w:r>
          <w:r>
            <w:fldChar w:fldCharType="begin"/>
          </w:r>
          <w:r>
            <w:instrText xml:space="preserve"> PAGEREF _Toc1651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6B7EDE2D">
          <w:pPr>
            <w:pStyle w:val="13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"_Toc1453" </w:instrText>
          </w:r>
          <w:r>
            <w:fldChar w:fldCharType="separate"/>
          </w:r>
          <w:r>
            <w:rPr>
              <w:rFonts w:hint="eastAsia"/>
            </w:rPr>
            <w:t>（一） 素质目标</w:t>
          </w:r>
          <w:r>
            <w:tab/>
          </w:r>
          <w:r>
            <w:fldChar w:fldCharType="begin"/>
          </w:r>
          <w:r>
            <w:instrText xml:space="preserve"> PAGEREF _Toc1453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159D848B">
          <w:pPr>
            <w:pStyle w:val="13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"_Toc1104" </w:instrText>
          </w:r>
          <w:r>
            <w:fldChar w:fldCharType="separate"/>
          </w:r>
          <w:r>
            <w:rPr>
              <w:rFonts w:hint="eastAsia"/>
            </w:rPr>
            <w:t>（二） 知识目标</w:t>
          </w:r>
          <w:r>
            <w:tab/>
          </w:r>
          <w:r>
            <w:fldChar w:fldCharType="begin"/>
          </w:r>
          <w:r>
            <w:instrText xml:space="preserve"> PAGEREF _Toc1104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034E4F6F">
          <w:pPr>
            <w:pStyle w:val="13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"_Toc30755" </w:instrText>
          </w:r>
          <w:r>
            <w:fldChar w:fldCharType="separate"/>
          </w:r>
          <w:r>
            <w:rPr>
              <w:rFonts w:hint="eastAsia"/>
            </w:rPr>
            <w:t>（三） 能力目标</w:t>
          </w:r>
          <w:r>
            <w:tab/>
          </w:r>
          <w:r>
            <w:fldChar w:fldCharType="begin"/>
          </w:r>
          <w:r>
            <w:instrText xml:space="preserve"> PAGEREF _Toc30755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1BD79C14">
          <w:pPr>
            <w:pStyle w:val="11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"_Toc24423" </w:instrText>
          </w:r>
          <w:r>
            <w:fldChar w:fldCharType="separate"/>
          </w:r>
          <w:r>
            <w:rPr>
              <w:rFonts w:hint="eastAsia"/>
            </w:rPr>
            <w:t>四、课程职业能力分析</w:t>
          </w:r>
          <w:r>
            <w:tab/>
          </w:r>
          <w:r>
            <w:fldChar w:fldCharType="begin"/>
          </w:r>
          <w:r>
            <w:instrText xml:space="preserve"> PAGEREF _Toc24423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0724064A">
          <w:pPr>
            <w:pStyle w:val="11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"_Toc27541" </w:instrText>
          </w:r>
          <w:r>
            <w:fldChar w:fldCharType="separate"/>
          </w:r>
          <w:r>
            <w:rPr>
              <w:rFonts w:hint="eastAsia"/>
            </w:rPr>
            <w:t>五、课程设计思路</w:t>
          </w:r>
          <w:r>
            <w:tab/>
          </w:r>
          <w:r>
            <w:fldChar w:fldCharType="begin"/>
          </w:r>
          <w:r>
            <w:instrText xml:space="preserve"> PAGEREF _Toc27541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7A5E6A8A">
          <w:pPr>
            <w:pStyle w:val="11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"_Toc8844" </w:instrText>
          </w:r>
          <w:r>
            <w:fldChar w:fldCharType="separate"/>
          </w:r>
          <w:r>
            <w:rPr>
              <w:rFonts w:hint="eastAsia"/>
            </w:rPr>
            <w:t>六、课程结构与内容</w:t>
          </w:r>
          <w:r>
            <w:tab/>
          </w:r>
          <w:r>
            <w:fldChar w:fldCharType="begin"/>
          </w:r>
          <w:r>
            <w:instrText xml:space="preserve"> PAGEREF _Toc8844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fldChar w:fldCharType="end"/>
          </w:r>
        </w:p>
        <w:p w14:paraId="70930749">
          <w:pPr>
            <w:pStyle w:val="11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"_Toc18126" </w:instrText>
          </w:r>
          <w:r>
            <w:fldChar w:fldCharType="separate"/>
          </w:r>
          <w:r>
            <w:rPr>
              <w:rFonts w:hint="eastAsia"/>
            </w:rPr>
            <w:t>七、学习评价</w:t>
          </w:r>
          <w:r>
            <w:tab/>
          </w:r>
          <w:r>
            <w:fldChar w:fldCharType="begin"/>
          </w:r>
          <w:r>
            <w:instrText xml:space="preserve"> PAGEREF _Toc18126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 w14:paraId="49A75175">
          <w:pPr>
            <w:pStyle w:val="11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"_Toc11140" </w:instrText>
          </w:r>
          <w:r>
            <w:fldChar w:fldCharType="separate"/>
          </w:r>
          <w:r>
            <w:rPr>
              <w:rFonts w:hint="eastAsia"/>
            </w:rPr>
            <w:t>八、教学资源</w:t>
          </w:r>
          <w:r>
            <w:tab/>
          </w:r>
          <w:r>
            <w:fldChar w:fldCharType="begin"/>
          </w:r>
          <w:r>
            <w:instrText xml:space="preserve"> PAGEREF _Toc11140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1193AC4E">
          <w:pPr>
            <w:pStyle w:val="13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"_Toc16925" </w:instrText>
          </w:r>
          <w:r>
            <w:fldChar w:fldCharType="separate"/>
          </w:r>
          <w:r>
            <w:rPr>
              <w:rFonts w:hint="eastAsia"/>
            </w:rPr>
            <w:t>（一）主要参考教材</w:t>
          </w:r>
          <w:r>
            <w:tab/>
          </w:r>
          <w:r>
            <w:fldChar w:fldCharType="begin"/>
          </w:r>
          <w:r>
            <w:instrText xml:space="preserve"> PAGEREF _Toc16925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483926AF">
          <w:pPr>
            <w:pStyle w:val="13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"_Toc17555" </w:instrText>
          </w:r>
          <w:r>
            <w:fldChar w:fldCharType="separate"/>
          </w:r>
          <w:r>
            <w:rPr>
              <w:rFonts w:hint="eastAsia"/>
            </w:rPr>
            <w:t>（二）其他参考资料</w:t>
          </w:r>
          <w:r>
            <w:tab/>
          </w:r>
          <w:r>
            <w:fldChar w:fldCharType="begin"/>
          </w:r>
          <w:r>
            <w:instrText xml:space="preserve"> PAGEREF _Toc17555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13939B95">
          <w:pPr>
            <w:pStyle w:val="13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"_Toc27934" </w:instrText>
          </w:r>
          <w:r>
            <w:fldChar w:fldCharType="separate"/>
          </w:r>
          <w:r>
            <w:rPr>
              <w:rFonts w:hint="eastAsia"/>
            </w:rPr>
            <w:t>（三）实训条件</w:t>
          </w:r>
          <w:r>
            <w:tab/>
          </w:r>
          <w:r>
            <w:fldChar w:fldCharType="begin"/>
          </w:r>
          <w:r>
            <w:instrText xml:space="preserve"> PAGEREF _Toc27934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0605577E">
          <w:pPr>
            <w:pStyle w:val="13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"_Toc7079" </w:instrText>
          </w:r>
          <w:r>
            <w:fldChar w:fldCharType="separate"/>
          </w:r>
          <w:r>
            <w:rPr>
              <w:rFonts w:hint="eastAsia"/>
            </w:rPr>
            <w:t>（四）信息化教学资源</w:t>
          </w:r>
          <w:r>
            <w:tab/>
          </w:r>
          <w:r>
            <w:fldChar w:fldCharType="begin"/>
          </w:r>
          <w:r>
            <w:instrText xml:space="preserve"> PAGEREF _Toc7079 </w:instrText>
          </w:r>
          <w:r>
            <w:fldChar w:fldCharType="separate"/>
          </w:r>
          <w:r>
            <w:t>11</w:t>
          </w:r>
          <w:r>
            <w:fldChar w:fldCharType="end"/>
          </w:r>
          <w:r>
            <w:fldChar w:fldCharType="end"/>
          </w:r>
        </w:p>
        <w:p w14:paraId="6B849540">
          <w:pPr>
            <w:pStyle w:val="11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"_Toc12227" </w:instrText>
          </w:r>
          <w:r>
            <w:fldChar w:fldCharType="separate"/>
          </w:r>
          <w:r>
            <w:rPr>
              <w:rFonts w:hint="eastAsia"/>
            </w:rPr>
            <w:t>九、师资要求</w:t>
          </w:r>
          <w:r>
            <w:tab/>
          </w:r>
          <w:r>
            <w:fldChar w:fldCharType="begin"/>
          </w:r>
          <w:r>
            <w:instrText xml:space="preserve"> PAGEREF _Toc12227 </w:instrText>
          </w:r>
          <w:r>
            <w:fldChar w:fldCharType="separate"/>
          </w:r>
          <w:r>
            <w:t>11</w:t>
          </w:r>
          <w:r>
            <w:fldChar w:fldCharType="end"/>
          </w:r>
          <w:r>
            <w:fldChar w:fldCharType="end"/>
          </w:r>
        </w:p>
        <w:p w14:paraId="3C5F27CD">
          <w:pPr>
            <w:pStyle w:val="11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"_Toc3001" </w:instrText>
          </w:r>
          <w:r>
            <w:fldChar w:fldCharType="separate"/>
          </w:r>
          <w:r>
            <w:rPr>
              <w:rFonts w:hint="eastAsia"/>
            </w:rPr>
            <w:t>十、其它说明</w:t>
          </w:r>
          <w:r>
            <w:tab/>
          </w:r>
          <w:r>
            <w:fldChar w:fldCharType="begin"/>
          </w:r>
          <w:r>
            <w:instrText xml:space="preserve"> PAGEREF _Toc3001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fldChar w:fldCharType="end"/>
          </w:r>
        </w:p>
        <w:p w14:paraId="045A5A9A">
          <w:pPr>
            <w:snapToGrid w:val="0"/>
            <w:spacing w:line="520" w:lineRule="exact"/>
            <w:ind w:firstLine="560"/>
            <w:rPr>
              <w:rFonts w:ascii="宋体" w:hAnsi="宋体" w:eastAsia="宋体" w:cs="宋体"/>
              <w:bCs/>
              <w:kern w:val="36"/>
              <w:sz w:val="21"/>
              <w:szCs w:val="36"/>
            </w:rPr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  <w:bookmarkStart w:id="52" w:name="_GoBack"/>
          <w:bookmarkEnd w:id="52"/>
        </w:p>
        <w:p w14:paraId="2C1177C9">
          <w:pPr>
            <w:snapToGrid w:val="0"/>
            <w:spacing w:line="360" w:lineRule="auto"/>
            <w:ind w:firstLine="420"/>
            <w:rPr>
              <w:rFonts w:ascii="宋体" w:hAnsi="宋体" w:cs="宋体"/>
              <w:b/>
              <w:bCs/>
              <w:kern w:val="36"/>
              <w:sz w:val="36"/>
              <w:szCs w:val="36"/>
            </w:rPr>
            <w:sectPr>
              <w:footerReference r:id="rId11" w:type="default"/>
              <w:pgSz w:w="11906" w:h="16838"/>
              <w:pgMar w:top="1440" w:right="1800" w:bottom="1440" w:left="1800" w:header="851" w:footer="992" w:gutter="0"/>
              <w:pgBorders>
                <w:top w:val="none" w:sz="0" w:space="0"/>
                <w:left w:val="none" w:sz="0" w:space="0"/>
                <w:bottom w:val="none" w:sz="0" w:space="0"/>
                <w:right w:val="none" w:sz="0" w:space="0"/>
              </w:pgBorders>
              <w:pgNumType w:start="1"/>
              <w:cols w:space="425" w:num="1"/>
              <w:docGrid w:type="lines" w:linePitch="312" w:charSpace="0"/>
            </w:sectPr>
          </w:pPr>
        </w:p>
      </w:sdtContent>
    </w:sdt>
    <w:p w14:paraId="2503107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3" w:firstLineChars="200"/>
        <w:textAlignment w:val="auto"/>
      </w:pPr>
      <w:bookmarkStart w:id="0" w:name="_Toc502337258"/>
      <w:bookmarkStart w:id="1" w:name="_Toc10917"/>
      <w:bookmarkStart w:id="2" w:name="_Toc2179"/>
      <w:bookmarkStart w:id="3" w:name="_Toc8847"/>
      <w:bookmarkStart w:id="4" w:name="_Toc16819"/>
      <w:bookmarkStart w:id="5" w:name="_Toc2469"/>
      <w:r>
        <w:rPr>
          <w:rFonts w:hint="eastAsia"/>
        </w:rPr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 w14:paraId="776E46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center"/>
        <w:textAlignment w:val="auto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表1. 课程基本信息表</w:t>
      </w:r>
    </w:p>
    <w:tbl>
      <w:tblPr>
        <w:tblStyle w:val="1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450"/>
        <w:gridCol w:w="1615"/>
        <w:gridCol w:w="2506"/>
      </w:tblGrid>
      <w:tr w14:paraId="09DE1C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C6A1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246F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hint="eastAsia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财务管理</w:t>
            </w:r>
          </w:p>
        </w:tc>
        <w:tc>
          <w:tcPr>
            <w:tcW w:w="161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7011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18470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hint="default"/>
                <w:sz w:val="24"/>
                <w:szCs w:val="21"/>
                <w:lang w:val="en-US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JG022527</w:t>
            </w:r>
          </w:p>
        </w:tc>
      </w:tr>
      <w:tr w14:paraId="3C33FD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6073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DB7C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 xml:space="preserve">□公共课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05C3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C687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 w14:paraId="36E755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E834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8575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64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BD93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7492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hint="eastAsia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4</w:t>
            </w:r>
          </w:p>
        </w:tc>
      </w:tr>
      <w:tr w14:paraId="7972C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38FE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0CF7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是             □否</w:t>
            </w:r>
          </w:p>
        </w:tc>
      </w:tr>
      <w:tr w14:paraId="001A1B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B0A3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5CB6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hint="eastAsia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大数据与会计</w:t>
            </w:r>
          </w:p>
        </w:tc>
      </w:tr>
      <w:tr w14:paraId="1F23DC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E209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10663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sz w:val="24"/>
                <w:szCs w:val="21"/>
              </w:rPr>
            </w:pPr>
          </w:p>
        </w:tc>
      </w:tr>
    </w:tbl>
    <w:p w14:paraId="7F042D0D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before="0" w:after="0" w:line="560" w:lineRule="exact"/>
        <w:ind w:firstLine="643" w:firstLineChars="200"/>
        <w:textAlignment w:val="auto"/>
      </w:pPr>
      <w:bookmarkStart w:id="6" w:name="_Toc4255"/>
      <w:bookmarkStart w:id="7" w:name="_Toc30964"/>
      <w:bookmarkStart w:id="8" w:name="_Toc502337262"/>
      <w:r>
        <w:rPr>
          <w:rFonts w:hint="eastAsia"/>
        </w:rPr>
        <w:t>课程任务</w:t>
      </w:r>
      <w:bookmarkEnd w:id="6"/>
    </w:p>
    <w:p w14:paraId="3197CA39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textAlignment w:val="auto"/>
        <w:rPr>
          <w:color w:val="FF0000"/>
        </w:rPr>
      </w:pPr>
      <w:r>
        <w:rPr>
          <w:rFonts w:hint="eastAsia"/>
        </w:rPr>
        <w:t>《</w:t>
      </w:r>
      <w:r>
        <w:rPr>
          <w:rFonts w:hint="eastAsia"/>
          <w:lang w:val="en-US" w:eastAsia="zh-CN"/>
        </w:rPr>
        <w:t>财务管理</w:t>
      </w:r>
      <w:r>
        <w:rPr>
          <w:rFonts w:hint="eastAsia"/>
        </w:rPr>
        <w:t>》是</w:t>
      </w:r>
      <w:r>
        <w:rPr>
          <w:rFonts w:hint="eastAsia"/>
          <w:lang w:val="en-US" w:eastAsia="zh-CN"/>
        </w:rPr>
        <w:t>大数据与会计</w:t>
      </w:r>
      <w:r>
        <w:rPr>
          <w:rFonts w:hint="eastAsia"/>
        </w:rPr>
        <w:t>专业的一门</w:t>
      </w:r>
      <w:r>
        <w:rPr>
          <w:rFonts w:hint="eastAsia"/>
          <w:lang w:val="en-US" w:eastAsia="zh-CN"/>
        </w:rPr>
        <w:t>专业核心</w:t>
      </w:r>
      <w:r>
        <w:rPr>
          <w:rFonts w:hint="eastAsia"/>
        </w:rPr>
        <w:t>课，本课程全面贯彻党的教育方针，落实立德树人根本任务，培养学生勇于创新的精神和</w:t>
      </w:r>
      <w:r>
        <w:rPr>
          <w:rFonts w:hint="eastAsia"/>
          <w:lang w:val="en-US" w:eastAsia="zh-CN"/>
        </w:rPr>
        <w:t>实践操作</w:t>
      </w:r>
      <w:r>
        <w:rPr>
          <w:rFonts w:hint="eastAsia"/>
        </w:rPr>
        <w:t>能力，提升学生</w:t>
      </w:r>
      <w:r>
        <w:rPr>
          <w:rFonts w:hint="eastAsia"/>
          <w:lang w:val="en-US" w:eastAsia="zh-CN"/>
        </w:rPr>
        <w:t>职业素养</w:t>
      </w:r>
      <w:r>
        <w:rPr>
          <w:rFonts w:hint="eastAsia"/>
        </w:rPr>
        <w:t>意识和较强的项目实操能力，达到使学生具备较强的</w:t>
      </w:r>
      <w:r>
        <w:rPr>
          <w:rFonts w:hint="eastAsia"/>
          <w:lang w:val="en-US" w:eastAsia="zh-CN"/>
        </w:rPr>
        <w:t>财务管理</w:t>
      </w:r>
      <w:r>
        <w:rPr>
          <w:rFonts w:hint="eastAsia"/>
        </w:rPr>
        <w:t>思维和</w:t>
      </w:r>
      <w:r>
        <w:rPr>
          <w:rFonts w:hint="eastAsia"/>
          <w:lang w:val="en-US" w:eastAsia="zh-CN"/>
        </w:rPr>
        <w:t>数字化财务</w:t>
      </w:r>
      <w:r>
        <w:rPr>
          <w:rFonts w:hint="eastAsia"/>
        </w:rPr>
        <w:t>操作的任务。</w:t>
      </w:r>
    </w:p>
    <w:p w14:paraId="37E4950E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通过本课程教学，使学生具备财务数据挖掘与清洗、智能风控模型应用、财务机器人操作、财务大数据分析</w:t>
      </w:r>
      <w:r>
        <w:rPr>
          <w:rFonts w:hint="eastAsia"/>
          <w:lang w:val="en-US" w:eastAsia="zh-CN"/>
        </w:rPr>
        <w:t>以及传统财务数据收集与整理、预算编制与管控技术</w:t>
      </w:r>
      <w:r>
        <w:rPr>
          <w:rFonts w:hint="eastAsia"/>
        </w:rPr>
        <w:t>、</w:t>
      </w:r>
      <w:r>
        <w:rPr>
          <w:rFonts w:hint="eastAsia"/>
          <w:lang w:val="en-US" w:eastAsia="zh-CN"/>
        </w:rPr>
        <w:t>投资项目决策分析、财税风险识别与应对</w:t>
      </w:r>
      <w:r>
        <w:rPr>
          <w:rFonts w:hint="eastAsia"/>
        </w:rPr>
        <w:t>等方面的技能，提高学生在</w:t>
      </w:r>
      <w:r>
        <w:rPr>
          <w:rFonts w:hint="eastAsia"/>
          <w:lang w:val="en-US" w:eastAsia="zh-CN"/>
        </w:rPr>
        <w:t>财务管理实践</w:t>
      </w:r>
      <w:r>
        <w:rPr>
          <w:rFonts w:hint="eastAsia"/>
        </w:rPr>
        <w:t>过程中分析问题和解决问题的能力，以便使学生实现从学校到社会的平稳过渡。</w:t>
      </w:r>
    </w:p>
    <w:p w14:paraId="11D45ED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before="0" w:after="0" w:line="560" w:lineRule="exact"/>
        <w:ind w:firstLine="643" w:firstLineChars="200"/>
        <w:textAlignment w:val="auto"/>
      </w:pPr>
      <w:bookmarkStart w:id="9" w:name="_Toc1651"/>
      <w:r>
        <w:rPr>
          <w:rFonts w:hint="eastAsia"/>
        </w:rPr>
        <w:t>三、课程目标</w:t>
      </w:r>
      <w:bookmarkEnd w:id="7"/>
      <w:bookmarkEnd w:id="8"/>
      <w:bookmarkEnd w:id="9"/>
      <w:bookmarkStart w:id="10" w:name="_Toc502337263"/>
    </w:p>
    <w:p w14:paraId="478EF156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textAlignment w:val="auto"/>
      </w:pPr>
      <w:r>
        <w:rPr>
          <w:rFonts w:hint="eastAsia"/>
        </w:rPr>
        <w:t>完成本课程学习后，学生应当具有以下素质、知识和能力：</w:t>
      </w:r>
    </w:p>
    <w:bookmarkEnd w:id="10"/>
    <w:p w14:paraId="32134B15">
      <w:pPr>
        <w:pStyle w:val="3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bidi w:val="0"/>
        <w:snapToGrid/>
        <w:spacing w:before="0" w:after="0" w:line="560" w:lineRule="exact"/>
        <w:ind w:firstLine="562" w:firstLineChars="200"/>
        <w:textAlignment w:val="auto"/>
        <w:rPr>
          <w:rFonts w:hint="eastAsia"/>
          <w:color w:val="auto"/>
        </w:rPr>
      </w:pPr>
      <w:bookmarkStart w:id="11" w:name="_Toc90472987"/>
      <w:bookmarkStart w:id="12" w:name="_Toc7412"/>
      <w:bookmarkStart w:id="13" w:name="_Toc1453"/>
      <w:r>
        <w:rPr>
          <w:rFonts w:hint="eastAsia"/>
        </w:rPr>
        <w:t>素质目标</w:t>
      </w:r>
      <w:bookmarkEnd w:id="11"/>
      <w:bookmarkEnd w:id="12"/>
      <w:bookmarkEnd w:id="13"/>
      <w:bookmarkStart w:id="14" w:name="_Toc502337264"/>
    </w:p>
    <w:p w14:paraId="2D62854A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textAlignment w:val="auto"/>
        <w:rPr>
          <w:color w:val="auto"/>
        </w:rPr>
      </w:pPr>
      <w:r>
        <w:rPr>
          <w:rFonts w:hint="eastAsia"/>
          <w:color w:val="auto"/>
        </w:rPr>
        <w:t>1.培养学生严谨细致的工作态度；</w:t>
      </w:r>
    </w:p>
    <w:p w14:paraId="64196855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textAlignment w:val="auto"/>
        <w:rPr>
          <w:color w:val="auto"/>
        </w:rPr>
      </w:pPr>
      <w:r>
        <w:rPr>
          <w:rFonts w:hint="eastAsia"/>
          <w:color w:val="auto"/>
        </w:rPr>
        <w:t>2.增强学生的团队协作精神；</w:t>
      </w:r>
    </w:p>
    <w:p w14:paraId="49DC377B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textAlignment w:val="auto"/>
        <w:rPr>
          <w:color w:val="auto"/>
        </w:rPr>
      </w:pPr>
      <w:r>
        <w:rPr>
          <w:rFonts w:hint="eastAsia"/>
          <w:color w:val="auto"/>
        </w:rPr>
        <w:t>3.提升学生的创新意识</w:t>
      </w:r>
      <w:r>
        <w:rPr>
          <w:rFonts w:hint="eastAsia"/>
          <w:color w:val="auto"/>
          <w:lang w:eastAsia="zh-CN"/>
        </w:rPr>
        <w:t>、</w:t>
      </w:r>
      <w:r>
        <w:rPr>
          <w:rFonts w:hint="eastAsia"/>
          <w:color w:val="auto"/>
        </w:rPr>
        <w:t>风险意识及数据伦理素养；</w:t>
      </w:r>
    </w:p>
    <w:p w14:paraId="4F37A85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textAlignment w:val="auto"/>
        <w:rPr>
          <w:rFonts w:hint="eastAsia"/>
          <w:color w:val="auto"/>
        </w:rPr>
      </w:pPr>
      <w:r>
        <w:rPr>
          <w:rFonts w:hint="eastAsia"/>
          <w:color w:val="auto"/>
        </w:rPr>
        <w:t>4</w:t>
      </w:r>
      <w:r>
        <w:rPr>
          <w:color w:val="auto"/>
        </w:rPr>
        <w:t>.</w:t>
      </w:r>
      <w:r>
        <w:rPr>
          <w:rFonts w:hint="eastAsia"/>
          <w:color w:val="auto"/>
        </w:rPr>
        <w:t>强化学生的职业道德素养；</w:t>
      </w:r>
    </w:p>
    <w:p w14:paraId="300794D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textAlignment w:val="auto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5.</w:t>
      </w:r>
      <w:r>
        <w:rPr>
          <w:rFonts w:hint="eastAsia"/>
          <w:color w:val="auto"/>
        </w:rPr>
        <w:t>树立学生对智能财税技术的正确认知，培养技术适配能力</w:t>
      </w:r>
    </w:p>
    <w:p w14:paraId="5E5B8AD0">
      <w:pPr>
        <w:pStyle w:val="3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bidi w:val="0"/>
        <w:snapToGrid/>
        <w:spacing w:before="0" w:after="0" w:line="560" w:lineRule="exact"/>
        <w:ind w:firstLine="562" w:firstLineChars="200"/>
        <w:textAlignment w:val="auto"/>
        <w:rPr>
          <w:color w:val="auto"/>
        </w:rPr>
      </w:pPr>
      <w:bookmarkStart w:id="15" w:name="_Toc1104"/>
      <w:bookmarkStart w:id="16" w:name="_Toc90472988"/>
      <w:bookmarkStart w:id="17" w:name="_Toc24734"/>
      <w:r>
        <w:rPr>
          <w:rFonts w:hint="eastAsia"/>
          <w:color w:val="auto"/>
        </w:rPr>
        <w:t>知识目标</w:t>
      </w:r>
      <w:bookmarkEnd w:id="14"/>
      <w:bookmarkEnd w:id="15"/>
      <w:bookmarkEnd w:id="16"/>
      <w:bookmarkEnd w:id="17"/>
      <w:bookmarkStart w:id="18" w:name="_Toc502337265"/>
    </w:p>
    <w:p w14:paraId="6F9CF90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textAlignment w:val="auto"/>
        <w:rPr>
          <w:color w:val="auto"/>
        </w:rPr>
      </w:pPr>
      <w:r>
        <w:rPr>
          <w:rFonts w:hint="eastAsia"/>
          <w:color w:val="auto"/>
        </w:rPr>
        <w:t>1.了解财务管理的基本概念、发展历程以及在企业运营中的重要地位等基础知识；</w:t>
      </w:r>
    </w:p>
    <w:p w14:paraId="1594384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textAlignment w:val="auto"/>
        <w:rPr>
          <w:color w:val="auto"/>
        </w:rPr>
      </w:pPr>
      <w:r>
        <w:rPr>
          <w:rFonts w:hint="eastAsia"/>
          <w:color w:val="auto"/>
        </w:rPr>
        <w:t>2.</w:t>
      </w:r>
      <w:r>
        <w:rPr>
          <w:rFonts w:hint="eastAsia" w:cs="宋体"/>
          <w:color w:val="auto"/>
        </w:rPr>
        <w:t>熟悉货币时间价值计算技术；</w:t>
      </w:r>
    </w:p>
    <w:p w14:paraId="4D2A2773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textAlignment w:val="auto"/>
        <w:rPr>
          <w:color w:val="auto"/>
        </w:rPr>
      </w:pPr>
      <w:r>
        <w:rPr>
          <w:rFonts w:hint="eastAsia"/>
          <w:color w:val="auto"/>
        </w:rPr>
        <w:t>3.熟悉预算编制的各类方法技术及智能资金预测系统原理；</w:t>
      </w:r>
    </w:p>
    <w:p w14:paraId="4431F021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textAlignment w:val="auto"/>
        <w:rPr>
          <w:rFonts w:cs="宋体"/>
          <w:color w:val="auto"/>
        </w:rPr>
      </w:pPr>
      <w:r>
        <w:rPr>
          <w:rFonts w:hint="eastAsia"/>
          <w:color w:val="auto"/>
        </w:rPr>
        <w:t>4</w:t>
      </w:r>
      <w:r>
        <w:rPr>
          <w:color w:val="auto"/>
        </w:rPr>
        <w:t>.</w:t>
      </w:r>
      <w:r>
        <w:rPr>
          <w:rFonts w:hint="eastAsia" w:cs="宋体"/>
          <w:color w:val="auto"/>
        </w:rPr>
        <w:t>掌握筹资方式与资本成本计算技术；</w:t>
      </w:r>
    </w:p>
    <w:p w14:paraId="40378D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560" w:firstLineChars="200"/>
        <w:textAlignment w:val="auto"/>
        <w:rPr>
          <w:rFonts w:cs="宋体"/>
          <w:color w:val="auto"/>
        </w:rPr>
      </w:pPr>
      <w:r>
        <w:rPr>
          <w:rFonts w:hint="eastAsia" w:cs="宋体"/>
          <w:color w:val="auto"/>
        </w:rPr>
        <w:t>5</w:t>
      </w:r>
      <w:r>
        <w:rPr>
          <w:rFonts w:cs="宋体"/>
          <w:color w:val="auto"/>
        </w:rPr>
        <w:t>.</w:t>
      </w:r>
      <w:r>
        <w:rPr>
          <w:rFonts w:hint="eastAsia" w:cs="宋体"/>
          <w:color w:val="auto"/>
        </w:rPr>
        <w:t>掌握项目投资决策评价指标（净现值、内部收益率等）的应用技术；</w:t>
      </w:r>
    </w:p>
    <w:p w14:paraId="15F6A7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560" w:firstLineChars="200"/>
        <w:textAlignment w:val="auto"/>
        <w:rPr>
          <w:rFonts w:hint="eastAsia" w:cs="宋体"/>
          <w:color w:val="auto"/>
          <w:lang w:eastAsia="zh-CN"/>
        </w:rPr>
      </w:pPr>
      <w:r>
        <w:rPr>
          <w:rFonts w:hint="eastAsia" w:cs="宋体"/>
          <w:color w:val="auto"/>
        </w:rPr>
        <w:t>6</w:t>
      </w:r>
      <w:r>
        <w:rPr>
          <w:rFonts w:cs="宋体"/>
          <w:color w:val="auto"/>
        </w:rPr>
        <w:t>.</w:t>
      </w:r>
      <w:r>
        <w:rPr>
          <w:rFonts w:hint="eastAsia" w:cs="宋体"/>
          <w:color w:val="auto"/>
        </w:rPr>
        <w:t>掌握财务分析指标体系的基本构成与分析方法，及财务大数据分析技术（Python+Jieba分词、NLP财报文本挖掘）</w:t>
      </w:r>
      <w:r>
        <w:rPr>
          <w:rFonts w:hint="eastAsia" w:cs="宋体"/>
          <w:color w:val="auto"/>
          <w:lang w:eastAsia="zh-CN"/>
        </w:rPr>
        <w:t>；</w:t>
      </w:r>
    </w:p>
    <w:p w14:paraId="333E01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560" w:firstLineChars="200"/>
        <w:textAlignment w:val="auto"/>
        <w:rPr>
          <w:rFonts w:hint="eastAsia" w:cs="宋体"/>
          <w:color w:val="auto"/>
          <w:lang w:eastAsia="zh-CN"/>
        </w:rPr>
      </w:pPr>
      <w:r>
        <w:rPr>
          <w:rFonts w:hint="eastAsia" w:cs="宋体"/>
          <w:color w:val="auto"/>
          <w:lang w:val="en-US" w:eastAsia="zh-CN"/>
        </w:rPr>
        <w:t>7.</w:t>
      </w:r>
      <w:r>
        <w:rPr>
          <w:rFonts w:hint="eastAsia" w:cs="宋体"/>
          <w:color w:val="auto"/>
        </w:rPr>
        <w:t>了解财务机器人（RPA）、财务云平台的基本原理及应用场景</w:t>
      </w:r>
      <w:r>
        <w:rPr>
          <w:rFonts w:hint="eastAsia" w:cs="宋体"/>
          <w:color w:val="auto"/>
          <w:lang w:eastAsia="zh-CN"/>
        </w:rPr>
        <w:t>；</w:t>
      </w:r>
    </w:p>
    <w:p w14:paraId="2EE181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560" w:firstLineChars="200"/>
        <w:textAlignment w:val="auto"/>
        <w:rPr>
          <w:rFonts w:hint="default" w:cs="宋体"/>
          <w:color w:val="auto"/>
          <w:lang w:val="en-US" w:eastAsia="zh-CN"/>
        </w:rPr>
      </w:pPr>
      <w:r>
        <w:rPr>
          <w:rFonts w:hint="eastAsia" w:cs="宋体"/>
          <w:color w:val="auto"/>
          <w:lang w:val="en-US" w:eastAsia="zh-CN"/>
        </w:rPr>
        <w:t>8.熟悉数据安全与算法伦理的基本规范，掌握相关法律知识的核心内容。</w:t>
      </w:r>
    </w:p>
    <w:p w14:paraId="314DA308">
      <w:pPr>
        <w:pStyle w:val="3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bidi w:val="0"/>
        <w:snapToGrid/>
        <w:spacing w:before="0" w:after="0" w:line="560" w:lineRule="exact"/>
        <w:ind w:firstLine="562" w:firstLineChars="200"/>
        <w:textAlignment w:val="auto"/>
        <w:rPr>
          <w:color w:val="auto"/>
        </w:rPr>
      </w:pPr>
      <w:bookmarkStart w:id="19" w:name="_Toc12623"/>
      <w:bookmarkStart w:id="20" w:name="_Toc30755"/>
      <w:bookmarkStart w:id="21" w:name="_Toc90472989"/>
      <w:r>
        <w:rPr>
          <w:rFonts w:hint="eastAsia"/>
          <w:color w:val="auto"/>
        </w:rPr>
        <w:t>能力目标</w:t>
      </w:r>
      <w:bookmarkEnd w:id="18"/>
      <w:bookmarkEnd w:id="19"/>
      <w:bookmarkEnd w:id="20"/>
      <w:bookmarkEnd w:id="21"/>
    </w:p>
    <w:p w14:paraId="02017109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textAlignment w:val="auto"/>
        <w:rPr>
          <w:color w:val="auto"/>
        </w:rPr>
      </w:pPr>
      <w:bookmarkStart w:id="22" w:name="OLE_LINK1"/>
      <w:r>
        <w:rPr>
          <w:rFonts w:hint="eastAsia"/>
          <w:color w:val="auto"/>
        </w:rPr>
        <w:t>1.能够</w:t>
      </w:r>
      <w:r>
        <w:rPr>
          <w:rFonts w:hint="eastAsia" w:cs="宋体"/>
          <w:color w:val="auto"/>
        </w:rPr>
        <w:t>处理企业日常财务数据</w:t>
      </w:r>
      <w:r>
        <w:rPr>
          <w:rFonts w:hint="eastAsia" w:cs="宋体"/>
          <w:color w:val="auto"/>
          <w:lang w:eastAsia="zh-CN"/>
        </w:rPr>
        <w:t>，具备财务数据清洗</w:t>
      </w:r>
      <w:r>
        <w:rPr>
          <w:rFonts w:hint="eastAsia" w:cs="宋体"/>
          <w:color w:val="auto"/>
          <w:lang w:val="en-US" w:eastAsia="zh-CN"/>
        </w:rPr>
        <w:t>以及</w:t>
      </w:r>
      <w:r>
        <w:rPr>
          <w:rFonts w:hint="eastAsia" w:cs="宋体"/>
          <w:color w:val="auto"/>
          <w:lang w:eastAsia="zh-CN"/>
        </w:rPr>
        <w:t>可视化分析能力</w:t>
      </w:r>
      <w:r>
        <w:rPr>
          <w:rFonts w:hint="eastAsia" w:cs="宋体"/>
          <w:color w:val="auto"/>
        </w:rPr>
        <w:t>；</w:t>
      </w:r>
    </w:p>
    <w:p w14:paraId="4E4AA24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textAlignment w:val="auto"/>
        <w:rPr>
          <w:color w:val="auto"/>
        </w:rPr>
      </w:pPr>
      <w:r>
        <w:rPr>
          <w:color w:val="auto"/>
        </w:rPr>
        <w:t>2</w:t>
      </w:r>
      <w:r>
        <w:rPr>
          <w:rFonts w:hint="eastAsia"/>
          <w:color w:val="auto"/>
        </w:rPr>
        <w:t>.能够</w:t>
      </w:r>
      <w:r>
        <w:rPr>
          <w:rFonts w:hint="eastAsia"/>
          <w:color w:val="auto"/>
          <w:lang w:val="en-US" w:eastAsia="zh-CN"/>
        </w:rPr>
        <w:t>运用Excel及财务机器人对</w:t>
      </w:r>
      <w:r>
        <w:rPr>
          <w:rFonts w:hint="eastAsia"/>
          <w:color w:val="auto"/>
        </w:rPr>
        <w:t>企业预算进行编制、执行监控与调整；</w:t>
      </w:r>
    </w:p>
    <w:p w14:paraId="73FE92F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textAlignment w:val="auto"/>
        <w:rPr>
          <w:rFonts w:cs="宋体"/>
          <w:color w:val="auto"/>
        </w:rPr>
      </w:pPr>
      <w:r>
        <w:rPr>
          <w:color w:val="auto"/>
        </w:rPr>
        <w:t>3.</w:t>
      </w:r>
      <w:r>
        <w:rPr>
          <w:rFonts w:hint="eastAsia" w:cs="宋体"/>
          <w:color w:val="auto"/>
        </w:rPr>
        <w:t>能够对企业的筹资活动进行策划与成本控制</w:t>
      </w:r>
      <w:r>
        <w:rPr>
          <w:rFonts w:hint="eastAsia" w:cs="宋体"/>
          <w:color w:val="auto"/>
          <w:lang w:eastAsia="zh-CN"/>
        </w:rPr>
        <w:t>，具备“多业态集团资金池管理”实战能力</w:t>
      </w:r>
      <w:r>
        <w:rPr>
          <w:rFonts w:hint="eastAsia" w:cs="宋体"/>
          <w:color w:val="auto"/>
        </w:rPr>
        <w:t>；</w:t>
      </w:r>
    </w:p>
    <w:p w14:paraId="4F23D6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560" w:firstLineChars="200"/>
        <w:textAlignment w:val="auto"/>
        <w:rPr>
          <w:rFonts w:hint="eastAsia" w:eastAsia="仿宋_GB2312" w:cs="宋体"/>
          <w:color w:val="auto"/>
          <w:lang w:eastAsia="zh-CN"/>
        </w:rPr>
      </w:pPr>
      <w:r>
        <w:rPr>
          <w:rFonts w:cs="宋体"/>
          <w:color w:val="auto"/>
        </w:rPr>
        <w:t>4.</w:t>
      </w:r>
      <w:r>
        <w:rPr>
          <w:rFonts w:hint="eastAsia" w:cs="宋体"/>
          <w:color w:val="auto"/>
        </w:rPr>
        <w:t>能够对对项目投资和证券投资进行可行性分析与风险评估</w:t>
      </w:r>
      <w:r>
        <w:rPr>
          <w:rFonts w:hint="eastAsia" w:cs="宋体"/>
          <w:color w:val="auto"/>
          <w:lang w:eastAsia="zh-CN"/>
        </w:rPr>
        <w:t>，具备智能风控模型应用（预测模型AUC值≥0.85）能力；</w:t>
      </w:r>
    </w:p>
    <w:p w14:paraId="613762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560" w:firstLineChars="200"/>
        <w:textAlignment w:val="auto"/>
        <w:rPr>
          <w:rFonts w:cs="宋体"/>
          <w:color w:val="auto"/>
        </w:rPr>
      </w:pPr>
      <w:r>
        <w:rPr>
          <w:rFonts w:cs="宋体"/>
          <w:color w:val="auto"/>
        </w:rPr>
        <w:t>5.</w:t>
      </w:r>
      <w:r>
        <w:rPr>
          <w:rFonts w:hint="eastAsia" w:cs="宋体"/>
          <w:color w:val="auto"/>
        </w:rPr>
        <w:t>具备财务综合分析与问题解决的基本能力，能够运用NLP技术进行“年报文本情感分析”，撰写数据伦理风险评估报告，对企业的财务状况进行全面分析，发现问题并提出有效的解决方案。</w:t>
      </w:r>
    </w:p>
    <w:bookmarkEnd w:id="22"/>
    <w:p w14:paraId="0204B97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before="0" w:after="0" w:line="560" w:lineRule="exact"/>
        <w:ind w:firstLine="643" w:firstLineChars="200"/>
        <w:textAlignment w:val="auto"/>
      </w:pPr>
      <w:bookmarkStart w:id="23" w:name="_Toc24423"/>
      <w:bookmarkStart w:id="24" w:name="_Toc11296"/>
      <w:r>
        <w:rPr>
          <w:rFonts w:hint="eastAsia"/>
        </w:rPr>
        <w:t>四、课程职业能力分析</w:t>
      </w:r>
      <w:bookmarkEnd w:id="23"/>
      <w:bookmarkEnd w:id="24"/>
    </w:p>
    <w:p w14:paraId="5F6A98F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firstLine="482" w:firstLineChars="200"/>
        <w:jc w:val="center"/>
        <w:textAlignment w:val="auto"/>
        <w:rPr>
          <w:rFonts w:ascii="仿宋_GB2312" w:hAnsi="仿宋_GB2312" w:cs="仿宋_GB2312"/>
          <w:b/>
          <w:color w:val="000000"/>
          <w:sz w:val="24"/>
          <w:szCs w:val="24"/>
        </w:rPr>
      </w:pPr>
      <w:r>
        <w:rPr>
          <w:rFonts w:hint="eastAsia" w:ascii="仿宋_GB2312" w:hAnsi="仿宋_GB2312" w:cs="仿宋_GB2312"/>
          <w:b/>
          <w:color w:val="000000"/>
          <w:sz w:val="24"/>
          <w:szCs w:val="24"/>
        </w:rPr>
        <w:t>表2. 课程职业能力分析表</w:t>
      </w:r>
    </w:p>
    <w:tbl>
      <w:tblPr>
        <w:tblStyle w:val="15"/>
        <w:tblW w:w="9152" w:type="dxa"/>
        <w:tblInd w:w="-176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3"/>
        <w:gridCol w:w="1243"/>
        <w:gridCol w:w="1851"/>
        <w:gridCol w:w="2268"/>
        <w:gridCol w:w="2347"/>
      </w:tblGrid>
      <w:tr w14:paraId="057F06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4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3875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工作岗位</w:t>
            </w:r>
          </w:p>
        </w:tc>
        <w:tc>
          <w:tcPr>
            <w:tcW w:w="12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40C2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工作任务</w:t>
            </w:r>
          </w:p>
        </w:tc>
        <w:tc>
          <w:tcPr>
            <w:tcW w:w="1851" w:type="dxa"/>
            <w:tcBorders>
              <w:tl2br w:val="nil"/>
              <w:tr2bl w:val="nil"/>
            </w:tcBorders>
            <w:vAlign w:val="center"/>
          </w:tcPr>
          <w:p w14:paraId="5349F1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工作内容</w:t>
            </w:r>
          </w:p>
        </w:tc>
        <w:tc>
          <w:tcPr>
            <w:tcW w:w="226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CE21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技能点</w:t>
            </w:r>
          </w:p>
        </w:tc>
        <w:tc>
          <w:tcPr>
            <w:tcW w:w="2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FF63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知识点</w:t>
            </w:r>
          </w:p>
        </w:tc>
      </w:tr>
      <w:tr w14:paraId="4D342D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5" w:hRule="atLeast"/>
        </w:trPr>
        <w:tc>
          <w:tcPr>
            <w:tcW w:w="14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F16D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财务助理</w:t>
            </w:r>
          </w:p>
        </w:tc>
        <w:tc>
          <w:tcPr>
            <w:tcW w:w="12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605E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协助财务管理认知工作</w:t>
            </w:r>
          </w:p>
        </w:tc>
        <w:tc>
          <w:tcPr>
            <w:tcW w:w="1851" w:type="dxa"/>
            <w:tcBorders>
              <w:tl2br w:val="nil"/>
              <w:tr2bl w:val="nil"/>
            </w:tcBorders>
            <w:vAlign w:val="center"/>
          </w:tcPr>
          <w:p w14:paraId="2D261D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rPr>
                <w:rFonts w:hint="eastAsia" w:ascii="仿宋_GB2312" w:hAnsi="仿宋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zh-CN" w:eastAsia="zh-CN" w:bidi="zh-CN"/>
              </w:rPr>
              <w:t>收集、整理企业财务资料，协助理解企业财务工作流程。</w:t>
            </w:r>
          </w:p>
        </w:tc>
        <w:tc>
          <w:tcPr>
            <w:tcW w:w="226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E87CB1">
            <w:pPr>
              <w:pStyle w:val="29"/>
              <w:keepNext w:val="0"/>
              <w:keepLines w:val="0"/>
              <w:pageBreakBefore w:val="0"/>
              <w:widowControl w:val="0"/>
              <w:tabs>
                <w:tab w:val="left" w:pos="312"/>
                <w:tab w:val="left" w:pos="548"/>
              </w:tabs>
              <w:kinsoku/>
              <w:wordWrap/>
              <w:overflowPunct/>
              <w:topLinePunct w:val="0"/>
              <w:bidi w:val="0"/>
              <w:spacing w:before="2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资料收集与整理技能，初步的财务流程梳理能力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2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61BA19">
            <w:pPr>
              <w:pStyle w:val="2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left"/>
              <w:rPr>
                <w:rFonts w:hint="eastAsia" w:ascii="仿宋_GB2312" w:hAnsi="Times New Roman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Times New Roman" w:eastAsia="仿宋_GB2312"/>
                <w:sz w:val="24"/>
                <w:szCs w:val="24"/>
              </w:rPr>
              <w:t>财务管理的基本概念、职能和工作环节，企业财务组织架构</w:t>
            </w:r>
            <w:r>
              <w:rPr>
                <w:rFonts w:hint="eastAsia" w:ascii="仿宋_GB2312" w:hAnsi="Times New Roman" w:eastAsia="仿宋_GB2312"/>
                <w:sz w:val="24"/>
                <w:szCs w:val="24"/>
                <w:lang w:eastAsia="zh-CN"/>
              </w:rPr>
              <w:t>。</w:t>
            </w:r>
          </w:p>
        </w:tc>
      </w:tr>
      <w:tr w14:paraId="7EEDEE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4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5203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预算专员</w:t>
            </w:r>
          </w:p>
        </w:tc>
        <w:tc>
          <w:tcPr>
            <w:tcW w:w="12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EF65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预算管理工作</w:t>
            </w:r>
          </w:p>
        </w:tc>
        <w:tc>
          <w:tcPr>
            <w:tcW w:w="1851" w:type="dxa"/>
            <w:tcBorders>
              <w:tl2br w:val="nil"/>
              <w:tr2bl w:val="nil"/>
            </w:tcBorders>
            <w:vAlign w:val="center"/>
          </w:tcPr>
          <w:p w14:paraId="6CBF7F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sz w:val="24"/>
                <w:szCs w:val="24"/>
              </w:rPr>
              <w:t>参与编制企业全面预算，监控预算执行情况并分析差异</w:t>
            </w:r>
            <w:r>
              <w:rPr>
                <w:rFonts w:hint="eastAsia" w:ascii="仿宋_GB2312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/>
                <w:sz w:val="24"/>
                <w:szCs w:val="24"/>
                <w:lang w:val="en-US" w:eastAsia="zh-CN"/>
              </w:rPr>
              <w:t>操作智能预算系统。</w:t>
            </w:r>
          </w:p>
        </w:tc>
        <w:tc>
          <w:tcPr>
            <w:tcW w:w="226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66AFA3">
            <w:pPr>
              <w:pStyle w:val="29"/>
              <w:keepNext w:val="0"/>
              <w:keepLines w:val="0"/>
              <w:pageBreakBefore w:val="0"/>
              <w:widowControl w:val="0"/>
              <w:tabs>
                <w:tab w:val="left" w:pos="546"/>
              </w:tabs>
              <w:kinsoku/>
              <w:wordWrap/>
              <w:overflowPunct/>
              <w:topLinePunct w:val="0"/>
              <w:bidi w:val="0"/>
              <w:spacing w:before="3" w:line="242" w:lineRule="auto"/>
              <w:ind w:right="-15"/>
              <w:jc w:val="both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预算编制技能，预算差异分析技能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智能预算系统操作。</w:t>
            </w:r>
          </w:p>
        </w:tc>
        <w:tc>
          <w:tcPr>
            <w:tcW w:w="2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F90EF6">
            <w:pPr>
              <w:pStyle w:val="2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left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预算体系的构成，预算编制方法，预算执行与监控要点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智能预测系统原理。</w:t>
            </w:r>
          </w:p>
        </w:tc>
      </w:tr>
      <w:tr w14:paraId="3BD615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4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ECCF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left="0" w:leftChars="0" w:firstLine="240" w:firstLineChars="100"/>
              <w:jc w:val="both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投资顾问</w:t>
            </w:r>
          </w:p>
        </w:tc>
        <w:tc>
          <w:tcPr>
            <w:tcW w:w="12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9F7E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证券投资管理服务</w:t>
            </w:r>
          </w:p>
        </w:tc>
        <w:tc>
          <w:tcPr>
            <w:tcW w:w="1851" w:type="dxa"/>
            <w:tcBorders>
              <w:tl2br w:val="nil"/>
              <w:tr2bl w:val="nil"/>
            </w:tcBorders>
            <w:vAlign w:val="center"/>
          </w:tcPr>
          <w:p w14:paraId="43D9A4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/>
                <w:sz w:val="24"/>
                <w:szCs w:val="24"/>
              </w:rPr>
              <w:t>为客户提供证券投资咨询，构建证券投资组合</w:t>
            </w:r>
            <w:r>
              <w:rPr>
                <w:rFonts w:hint="eastAsia" w:ascii="仿宋_GB2312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226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EEA6F9">
            <w:pPr>
              <w:pStyle w:val="29"/>
              <w:keepNext w:val="0"/>
              <w:keepLines w:val="0"/>
              <w:pageBreakBefore w:val="0"/>
              <w:widowControl w:val="0"/>
              <w:tabs>
                <w:tab w:val="left" w:pos="546"/>
              </w:tabs>
              <w:kinsoku/>
              <w:wordWrap/>
              <w:overflowPunct/>
              <w:topLinePunct w:val="0"/>
              <w:bidi w:val="0"/>
              <w:rPr>
                <w:rFonts w:hint="eastAsia" w:ascii="仿宋_GB2312" w:eastAsia="仿宋_GB2312"/>
                <w:spacing w:val="-7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pacing w:val="-7"/>
                <w:sz w:val="24"/>
                <w:szCs w:val="24"/>
              </w:rPr>
              <w:t>证券投资分析技能</w:t>
            </w:r>
            <w:r>
              <w:rPr>
                <w:rFonts w:hint="eastAsia" w:ascii="仿宋_GB2312" w:eastAsia="仿宋_GB2312"/>
                <w:spacing w:val="-7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eastAsia="仿宋_GB2312"/>
                <w:spacing w:val="-7"/>
                <w:sz w:val="24"/>
                <w:szCs w:val="24"/>
              </w:rPr>
              <w:t>投资组合构建技能</w:t>
            </w:r>
            <w:r>
              <w:rPr>
                <w:rFonts w:hint="eastAsia" w:ascii="仿宋_GB2312" w:eastAsia="仿宋_GB2312"/>
                <w:spacing w:val="-7"/>
                <w:sz w:val="24"/>
                <w:szCs w:val="24"/>
                <w:lang w:eastAsia="zh-CN"/>
              </w:rPr>
              <w:t>，智能风控模型应用技能</w:t>
            </w:r>
          </w:p>
        </w:tc>
        <w:tc>
          <w:tcPr>
            <w:tcW w:w="2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27E244">
            <w:pPr>
              <w:pStyle w:val="2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left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证券投资的基础知识，债券、基金投资的价值评估和风险分析，证券投资组合策略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风控模型原理。</w:t>
            </w:r>
          </w:p>
        </w:tc>
      </w:tr>
      <w:tr w14:paraId="6B2FC7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4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5CEC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  <w:bookmarkStart w:id="25" w:name="_Toc30005"/>
            <w:bookmarkStart w:id="26" w:name="_Toc27541"/>
            <w:bookmarkStart w:id="27" w:name="_Toc502337266"/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财务分析师</w:t>
            </w:r>
          </w:p>
        </w:tc>
        <w:tc>
          <w:tcPr>
            <w:tcW w:w="12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AFA2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Times New Roman" w:cs="Times New Roman"/>
                <w:sz w:val="24"/>
                <w:szCs w:val="24"/>
              </w:rPr>
              <w:t>收益分配与财务分析工作</w:t>
            </w: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ab/>
            </w:r>
          </w:p>
        </w:tc>
        <w:tc>
          <w:tcPr>
            <w:tcW w:w="1851" w:type="dxa"/>
            <w:tcBorders>
              <w:tl2br w:val="nil"/>
              <w:tr2bl w:val="nil"/>
            </w:tcBorders>
            <w:vAlign w:val="center"/>
          </w:tcPr>
          <w:p w14:paraId="2E9B22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/>
                <w:sz w:val="24"/>
                <w:szCs w:val="24"/>
              </w:rPr>
              <w:t>分析企业收益分配情况，进行财务状况分析并撰写报告</w:t>
            </w:r>
            <w:r>
              <w:rPr>
                <w:rFonts w:hint="eastAsia" w:ascii="仿宋_GB2312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226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7C4032">
            <w:pPr>
              <w:pStyle w:val="29"/>
              <w:keepNext w:val="0"/>
              <w:keepLines w:val="0"/>
              <w:pageBreakBefore w:val="0"/>
              <w:widowControl w:val="0"/>
              <w:tabs>
                <w:tab w:val="left" w:pos="546"/>
              </w:tabs>
              <w:kinsoku/>
              <w:wordWrap/>
              <w:overflowPunct/>
              <w:topLinePunct w:val="0"/>
              <w:bidi w:val="0"/>
              <w:rPr>
                <w:rFonts w:hint="eastAsia" w:ascii="仿宋_GB2312" w:eastAsia="仿宋_GB2312"/>
                <w:spacing w:val="-7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pacing w:val="-7"/>
                <w:sz w:val="24"/>
                <w:szCs w:val="24"/>
              </w:rPr>
              <w:t>收益分配政策分析技能</w:t>
            </w:r>
            <w:r>
              <w:rPr>
                <w:rFonts w:hint="eastAsia" w:ascii="仿宋_GB2312" w:eastAsia="仿宋_GB2312"/>
                <w:spacing w:val="-7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eastAsia="仿宋_GB2312"/>
                <w:spacing w:val="-7"/>
                <w:sz w:val="24"/>
                <w:szCs w:val="24"/>
              </w:rPr>
              <w:t>财务分析技能</w:t>
            </w:r>
            <w:r>
              <w:rPr>
                <w:rFonts w:hint="eastAsia" w:ascii="仿宋_GB2312" w:eastAsia="仿宋_GB2312"/>
                <w:spacing w:val="-7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eastAsia="仿宋_GB2312"/>
                <w:spacing w:val="-7"/>
                <w:sz w:val="24"/>
                <w:szCs w:val="24"/>
              </w:rPr>
              <w:t>财报文本情感分析技能</w:t>
            </w:r>
            <w:r>
              <w:rPr>
                <w:rFonts w:hint="eastAsia" w:ascii="仿宋_GB2312" w:eastAsia="仿宋_GB2312"/>
                <w:spacing w:val="-7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eastAsia="仿宋_GB2312"/>
                <w:spacing w:val="-7"/>
                <w:sz w:val="24"/>
                <w:szCs w:val="24"/>
              </w:rPr>
              <w:t>报告撰写技能</w:t>
            </w:r>
            <w:r>
              <w:rPr>
                <w:rFonts w:hint="eastAsia" w:ascii="仿宋_GB2312" w:eastAsia="仿宋_GB2312"/>
                <w:spacing w:val="-7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2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D75B23">
            <w:pPr>
              <w:pStyle w:val="2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收益分配的原则与程序，股利分配政策，财务分析的基础知识，各类财务分析指标的计算和应用，财务状况分析方法（比率分析、趋势分析等）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、NLP 技术应用。</w:t>
            </w:r>
          </w:p>
        </w:tc>
      </w:tr>
      <w:tr w14:paraId="19CE71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4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0B5D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  <w:lang w:val="en-US" w:eastAsia="zh-CN"/>
              </w:rPr>
              <w:t>智能财税专员</w:t>
            </w:r>
          </w:p>
        </w:tc>
        <w:tc>
          <w:tcPr>
            <w:tcW w:w="12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7645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rPr>
                <w:rFonts w:hint="default" w:ascii="仿宋_GB2312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cs="Times New Roman"/>
                <w:sz w:val="24"/>
                <w:szCs w:val="24"/>
                <w:lang w:val="en-US" w:eastAsia="zh-CN"/>
              </w:rPr>
              <w:t>智能财务操作</w:t>
            </w:r>
          </w:p>
        </w:tc>
        <w:tc>
          <w:tcPr>
            <w:tcW w:w="1851" w:type="dxa"/>
            <w:tcBorders>
              <w:tl2br w:val="nil"/>
              <w:tr2bl w:val="nil"/>
            </w:tcBorders>
            <w:vAlign w:val="center"/>
          </w:tcPr>
          <w:p w14:paraId="0B26E6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操作财务机器人处理重复性工作，维护智能财税系统</w:t>
            </w:r>
          </w:p>
        </w:tc>
        <w:tc>
          <w:tcPr>
            <w:tcW w:w="226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B1D640">
            <w:pPr>
              <w:pStyle w:val="29"/>
              <w:keepNext w:val="0"/>
              <w:keepLines w:val="0"/>
              <w:pageBreakBefore w:val="0"/>
              <w:widowControl w:val="0"/>
              <w:tabs>
                <w:tab w:val="left" w:pos="546"/>
              </w:tabs>
              <w:kinsoku/>
              <w:wordWrap/>
              <w:overflowPunct/>
              <w:topLinePunct w:val="0"/>
              <w:bidi w:val="0"/>
              <w:rPr>
                <w:rFonts w:hint="eastAsia" w:ascii="仿宋_GB2312" w:eastAsia="仿宋_GB2312"/>
                <w:spacing w:val="-7"/>
                <w:sz w:val="24"/>
                <w:szCs w:val="24"/>
              </w:rPr>
            </w:pPr>
            <w:r>
              <w:rPr>
                <w:rFonts w:hint="eastAsia" w:ascii="仿宋_GB2312" w:eastAsia="仿宋_GB2312"/>
                <w:spacing w:val="-7"/>
                <w:sz w:val="24"/>
                <w:szCs w:val="24"/>
              </w:rPr>
              <w:t>财务机器人（RPA）操作技能</w:t>
            </w:r>
            <w:r>
              <w:rPr>
                <w:rFonts w:hint="eastAsia" w:ascii="仿宋_GB2312" w:eastAsia="仿宋_GB2312"/>
                <w:spacing w:val="-7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eastAsia="仿宋_GB2312"/>
                <w:spacing w:val="-7"/>
                <w:sz w:val="24"/>
                <w:szCs w:val="24"/>
              </w:rPr>
              <w:t>智能系统维护技能</w:t>
            </w:r>
          </w:p>
        </w:tc>
        <w:tc>
          <w:tcPr>
            <w:tcW w:w="2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DAAF84">
            <w:pPr>
              <w:pStyle w:val="2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RPA流程自动化原理、智能财税系统架构</w:t>
            </w:r>
          </w:p>
        </w:tc>
      </w:tr>
      <w:tr w14:paraId="3AD1F9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4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970E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  <w:lang w:val="en-US" w:eastAsia="zh-CN"/>
              </w:rPr>
              <w:t>财务数据建模师</w:t>
            </w:r>
          </w:p>
        </w:tc>
        <w:tc>
          <w:tcPr>
            <w:tcW w:w="12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4DA2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cs="Times New Roman"/>
                <w:sz w:val="24"/>
                <w:szCs w:val="24"/>
                <w:lang w:val="en-US" w:eastAsia="zh-CN"/>
              </w:rPr>
              <w:t>财务数据分析</w:t>
            </w:r>
          </w:p>
        </w:tc>
        <w:tc>
          <w:tcPr>
            <w:tcW w:w="1851" w:type="dxa"/>
            <w:tcBorders>
              <w:tl2br w:val="nil"/>
              <w:tr2bl w:val="nil"/>
            </w:tcBorders>
            <w:vAlign w:val="center"/>
          </w:tcPr>
          <w:p w14:paraId="2D0367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进行财务数据挖掘、清洗、建模，开发可视化看板</w:t>
            </w:r>
          </w:p>
        </w:tc>
        <w:tc>
          <w:tcPr>
            <w:tcW w:w="226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7A4FFA">
            <w:pPr>
              <w:pStyle w:val="29"/>
              <w:keepNext w:val="0"/>
              <w:keepLines w:val="0"/>
              <w:pageBreakBefore w:val="0"/>
              <w:widowControl w:val="0"/>
              <w:tabs>
                <w:tab w:val="left" w:pos="546"/>
              </w:tabs>
              <w:kinsoku/>
              <w:wordWrap/>
              <w:overflowPunct/>
              <w:topLinePunct w:val="0"/>
              <w:bidi w:val="0"/>
              <w:rPr>
                <w:rFonts w:hint="eastAsia" w:ascii="仿宋_GB2312" w:eastAsia="仿宋_GB2312"/>
                <w:spacing w:val="-7"/>
                <w:sz w:val="24"/>
                <w:szCs w:val="24"/>
              </w:rPr>
            </w:pPr>
            <w:r>
              <w:rPr>
                <w:rFonts w:hint="eastAsia" w:ascii="仿宋_GB2312" w:eastAsia="仿宋_GB2312"/>
                <w:spacing w:val="-7"/>
                <w:sz w:val="24"/>
                <w:szCs w:val="24"/>
              </w:rPr>
              <w:t>数据清洗技能</w:t>
            </w:r>
            <w:r>
              <w:rPr>
                <w:rFonts w:hint="eastAsia" w:ascii="仿宋_GB2312" w:eastAsia="仿宋_GB2312"/>
                <w:spacing w:val="-7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eastAsia="仿宋_GB2312"/>
                <w:spacing w:val="-7"/>
                <w:sz w:val="24"/>
                <w:szCs w:val="24"/>
              </w:rPr>
              <w:t>模型构建技能</w:t>
            </w:r>
            <w:r>
              <w:rPr>
                <w:rFonts w:hint="eastAsia" w:ascii="仿宋_GB2312" w:eastAsia="仿宋_GB2312"/>
                <w:spacing w:val="-7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eastAsia="仿宋_GB2312"/>
                <w:spacing w:val="-7"/>
                <w:sz w:val="24"/>
                <w:szCs w:val="24"/>
              </w:rPr>
              <w:t>可视化开发技能</w:t>
            </w:r>
          </w:p>
        </w:tc>
        <w:tc>
          <w:tcPr>
            <w:tcW w:w="2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A0F516">
            <w:pPr>
              <w:pStyle w:val="2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Python数据处理、可视化工具应用</w:t>
            </w:r>
          </w:p>
        </w:tc>
      </w:tr>
    </w:tbl>
    <w:p w14:paraId="1CA2341A">
      <w:pPr>
        <w:pStyle w:val="2"/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3" w:firstLineChars="200"/>
        <w:textAlignment w:val="auto"/>
        <w:rPr>
          <w:rFonts w:hint="eastAsia"/>
        </w:rPr>
      </w:pPr>
      <w:r>
        <w:rPr>
          <w:rFonts w:hint="eastAsia"/>
        </w:rPr>
        <w:t>课程设计思路</w:t>
      </w:r>
      <w:bookmarkEnd w:id="25"/>
      <w:bookmarkEnd w:id="26"/>
    </w:p>
    <w:p w14:paraId="711BF88F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教学路径：</w:t>
      </w:r>
    </w:p>
    <w:p w14:paraId="58F84957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理论与实践结合：在各模块教学中，均先通过课堂讲授传授理论知识，如在预算管理模块，讲解预算管理概念、体系组成等知识。随后安排实践课程，再通过“传统实践+数字实践”深化理解，传统实践如模拟企业预算编制，数字实践如用财务机器人执行预算数据录入、用Python进行预算差异分析，将理论运用于实际操作，在实践中深化对知识的理解和掌握，提升学生解决实际问题的能力。</w:t>
      </w:r>
    </w:p>
    <w:p w14:paraId="774F8FB3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案例驱动教学：引入大量实际企业案例，如引入</w:t>
      </w:r>
      <w:r>
        <w:rPr>
          <w:rFonts w:hint="eastAsia"/>
          <w:lang w:val="en-US" w:eastAsia="zh-CN"/>
        </w:rPr>
        <w:t>“</w:t>
      </w:r>
      <w:r>
        <w:rPr>
          <w:rFonts w:hint="default"/>
          <w:lang w:val="en-US" w:eastAsia="zh-CN"/>
        </w:rPr>
        <w:t>上市公司数据造假</w:t>
      </w:r>
      <w:r>
        <w:rPr>
          <w:rFonts w:hint="eastAsia"/>
          <w:lang w:val="en-US" w:eastAsia="zh-CN"/>
        </w:rPr>
        <w:t>”“</w:t>
      </w:r>
      <w:r>
        <w:rPr>
          <w:rFonts w:hint="default"/>
          <w:lang w:val="en-US" w:eastAsia="zh-CN"/>
        </w:rPr>
        <w:t>多业态集团资金池管理</w:t>
      </w:r>
      <w:r>
        <w:rPr>
          <w:rFonts w:hint="eastAsia"/>
          <w:lang w:val="en-US" w:eastAsia="zh-CN"/>
        </w:rPr>
        <w:t>”</w:t>
      </w:r>
      <w:r>
        <w:rPr>
          <w:rFonts w:hint="default"/>
          <w:lang w:val="en-US" w:eastAsia="zh-CN"/>
        </w:rPr>
        <w:t>等真实案例</w:t>
      </w:r>
      <w:r>
        <w:rPr>
          <w:rFonts w:hint="eastAsia"/>
          <w:lang w:val="en-US" w:eastAsia="zh-CN"/>
        </w:rPr>
        <w:t>，</w:t>
      </w:r>
      <w:r>
        <w:rPr>
          <w:rFonts w:hint="default"/>
          <w:lang w:val="en-US" w:eastAsia="zh-CN"/>
        </w:rPr>
        <w:t>对接用友/金蝶财务云平台场景，激发学生兴趣，培养产业适配能力</w:t>
      </w:r>
      <w:r>
        <w:rPr>
          <w:rFonts w:hint="eastAsia"/>
          <w:lang w:val="en-US" w:eastAsia="zh-CN"/>
        </w:rPr>
        <w:t>。</w:t>
      </w:r>
      <w:r>
        <w:rPr>
          <w:rFonts w:hint="default"/>
          <w:lang w:val="en-US" w:eastAsia="zh-CN"/>
        </w:rPr>
        <w:t>以案例为载体，激发学生学习兴趣，引导学生思考和分析，培养学生的应用能力和思维能力。</w:t>
      </w:r>
    </w:p>
    <w:p w14:paraId="74E82ED2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跨学科整合教学：</w:t>
      </w:r>
      <w:r>
        <w:rPr>
          <w:rFonts w:hint="eastAsia"/>
          <w:lang w:val="en-US" w:eastAsia="zh-CN"/>
        </w:rPr>
        <w:t>如</w:t>
      </w:r>
      <w:r>
        <w:rPr>
          <w:rFonts w:hint="default"/>
          <w:lang w:val="en-US" w:eastAsia="zh-CN"/>
        </w:rPr>
        <w:t>在</w:t>
      </w:r>
      <w:r>
        <w:rPr>
          <w:rFonts w:hint="eastAsia"/>
          <w:lang w:val="en-US" w:eastAsia="zh-CN"/>
        </w:rPr>
        <w:t>“</w:t>
      </w:r>
      <w:r>
        <w:rPr>
          <w:rFonts w:hint="default"/>
          <w:lang w:val="en-US" w:eastAsia="zh-CN"/>
        </w:rPr>
        <w:t>营运资金管理</w:t>
      </w:r>
      <w:r>
        <w:rPr>
          <w:rFonts w:hint="eastAsia"/>
          <w:lang w:val="en-US" w:eastAsia="zh-CN"/>
        </w:rPr>
        <w:t>”</w:t>
      </w:r>
      <w:r>
        <w:rPr>
          <w:rFonts w:hint="default"/>
          <w:lang w:val="en-US" w:eastAsia="zh-CN"/>
        </w:rPr>
        <w:t>模块整合RPA操作，实现</w:t>
      </w:r>
      <w:r>
        <w:rPr>
          <w:rFonts w:hint="eastAsia"/>
          <w:lang w:val="en-US" w:eastAsia="zh-CN"/>
        </w:rPr>
        <w:t>“</w:t>
      </w:r>
      <w:r>
        <w:rPr>
          <w:rFonts w:hint="default"/>
          <w:lang w:val="en-US" w:eastAsia="zh-CN"/>
        </w:rPr>
        <w:t>财会知识+信息技术</w:t>
      </w:r>
      <w:r>
        <w:rPr>
          <w:rFonts w:hint="eastAsia"/>
          <w:lang w:val="en-US" w:eastAsia="zh-CN"/>
        </w:rPr>
        <w:t>”</w:t>
      </w:r>
      <w:r>
        <w:rPr>
          <w:rFonts w:hint="default"/>
          <w:lang w:val="en-US" w:eastAsia="zh-CN"/>
        </w:rPr>
        <w:t>的深度融合</w:t>
      </w:r>
      <w:r>
        <w:rPr>
          <w:rFonts w:hint="eastAsia"/>
          <w:lang w:val="en-US" w:eastAsia="zh-CN"/>
        </w:rPr>
        <w:t>。</w:t>
      </w:r>
    </w:p>
    <w:p w14:paraId="7BFDCCB3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560" w:firstLineChars="200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教学评价：</w:t>
      </w:r>
    </w:p>
    <w:p w14:paraId="640C2728"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560" w:firstLineChars="200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多元化评价指标：构建涵盖知识掌握、技能应用、实践操作、团队协作等多维度的评价指标体系。知识考核通过课堂提问、测验等方式检验学生对概念、原理的理解；技能考核关注学生在计算、分析、决策等方面的能力；实践操作考核学生在模拟企业任务中的表现；团队协作考察学生在小组活动中的沟通、配合情况，全面评价学生的学习成果。</w:t>
      </w:r>
    </w:p>
    <w:p w14:paraId="0A6BE974"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560" w:firstLineChars="200"/>
        <w:textAlignment w:val="auto"/>
        <w:rPr>
          <w:rFonts w:hint="eastAsia"/>
          <w:lang w:val="en-US" w:eastAsia="zh-CN"/>
        </w:rPr>
      </w:pPr>
      <w:r>
        <w:rPr>
          <w:rFonts w:hint="default"/>
          <w:lang w:val="en-US" w:eastAsia="zh-CN"/>
        </w:rPr>
        <w:t>过程性与终结性评价结合：注重学习过程评价，记录学生在课堂讨论、作业完成、实践操作过程中的表现，及时给予反馈和指导。同时进行终结性评价，如课程结束后的考试、综合项目成果考核等，对学生整个课程学习的综合成果进行评定，全面反映学生的学习情况。</w:t>
      </w:r>
    </w:p>
    <w:p w14:paraId="1FE40D71"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560" w:firstLineChars="200"/>
        <w:textAlignment w:val="auto"/>
        <w:rPr>
          <w:rFonts w:hint="eastAsia"/>
          <w:lang w:val="en-US" w:eastAsia="zh-CN"/>
        </w:rPr>
      </w:pPr>
      <w:r>
        <w:rPr>
          <w:rFonts w:hint="default"/>
          <w:lang w:val="en-US" w:eastAsia="zh-CN"/>
        </w:rPr>
        <w:t>评价主体多元化：采用</w:t>
      </w:r>
      <w:r>
        <w:rPr>
          <w:rFonts w:hint="eastAsia"/>
          <w:lang w:val="en-US" w:eastAsia="zh-CN"/>
        </w:rPr>
        <w:t>“</w:t>
      </w:r>
      <w:r>
        <w:rPr>
          <w:rFonts w:hint="default"/>
          <w:lang w:val="en-US" w:eastAsia="zh-CN"/>
        </w:rPr>
        <w:t>教师评价+企业导师评价+学生自评+互评</w:t>
      </w:r>
      <w:r>
        <w:rPr>
          <w:rFonts w:hint="eastAsia"/>
          <w:lang w:val="en-US" w:eastAsia="zh-CN"/>
        </w:rPr>
        <w:t>”</w:t>
      </w:r>
      <w:r>
        <w:rPr>
          <w:rFonts w:hint="default"/>
          <w:lang w:val="en-US" w:eastAsia="zh-CN"/>
        </w:rPr>
        <w:t>，企业导师重点评价产业场景实操能力（如资金池管理、RPA 操作）。</w:t>
      </w:r>
    </w:p>
    <w:p w14:paraId="73F6B278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560" w:firstLineChars="200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课程思政</w:t>
      </w:r>
    </w:p>
    <w:p w14:paraId="22F2BC98"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560" w:firstLineChars="200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案例融入思政元素：在教学案例选择上，注重选取蕴含思政元素的案例。展示财务管理在企业资源合理配置、助力企业履行社会责任等方面的案例，培养学生的职业使命感和社会责任感；通过企业因违反财务法规而遭受损失的案例，强化学生的法律意识和合规意识。</w:t>
      </w:r>
    </w:p>
    <w:p w14:paraId="77A45CB0"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560" w:firstLineChars="200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教学活动渗透思政教育：在小组讨论、实践操作等教学活动中，引导学生树立正确的价值观和职业道德观。在小组合作完成预算编制任务时，培养学生的团队协作精神和责任感；在投资决策分析中，让学生认识到风险与收益并存，培养严谨负责的工作态度和风险意识；在“智能风控模型应用”中讨论“模型偏见”的规避方法，引导树立负责任的技术应用观。</w:t>
      </w:r>
    </w:p>
    <w:bookmarkEnd w:id="27"/>
    <w:p w14:paraId="3AE24A84">
      <w:pPr>
        <w:pStyle w:val="2"/>
        <w:keepNext w:val="0"/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3" w:firstLineChars="200"/>
        <w:textAlignment w:val="auto"/>
        <w:rPr>
          <w:rFonts w:hint="eastAsia"/>
        </w:rPr>
      </w:pPr>
      <w:bookmarkStart w:id="28" w:name="_Toc8844"/>
      <w:bookmarkStart w:id="29" w:name="_Toc11466"/>
      <w:r>
        <w:rPr>
          <w:rFonts w:hint="eastAsia"/>
        </w:rPr>
        <w:t>课程结构与内容</w:t>
      </w:r>
      <w:bookmarkEnd w:id="28"/>
      <w:bookmarkEnd w:id="29"/>
      <w:bookmarkStart w:id="30" w:name="_Toc7467"/>
      <w:bookmarkStart w:id="31" w:name="_Toc19213"/>
    </w:p>
    <w:p w14:paraId="243B59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center"/>
        <w:textAlignment w:val="auto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表3. 课程设计方案</w:t>
      </w:r>
    </w:p>
    <w:tbl>
      <w:tblPr>
        <w:tblStyle w:val="15"/>
        <w:tblpPr w:leftFromText="180" w:rightFromText="180" w:vertAnchor="text" w:horzAnchor="page" w:tblpX="1607" w:tblpY="549"/>
        <w:tblOverlap w:val="never"/>
        <w:tblW w:w="8948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"/>
        <w:gridCol w:w="1202"/>
        <w:gridCol w:w="1183"/>
        <w:gridCol w:w="1936"/>
        <w:gridCol w:w="1842"/>
        <w:gridCol w:w="1843"/>
        <w:gridCol w:w="567"/>
      </w:tblGrid>
      <w:tr w14:paraId="558AEF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5DA5C3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2D16F1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课程内容</w:t>
            </w:r>
          </w:p>
          <w:p w14:paraId="7F07B0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0DF31F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179C6C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学习内容和要求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53000E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教学设计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7C7F7B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课程思政设计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3F737C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学时</w:t>
            </w:r>
          </w:p>
        </w:tc>
      </w:tr>
      <w:tr w14:paraId="00EDF2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4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4F5097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1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vAlign w:val="center"/>
          </w:tcPr>
          <w:p w14:paraId="360383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企业财务管理前准备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589BC8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企业财务管理的基本知识</w:t>
            </w:r>
          </w:p>
        </w:tc>
        <w:tc>
          <w:tcPr>
            <w:tcW w:w="1936" w:type="dxa"/>
            <w:vMerge w:val="restart"/>
            <w:tcBorders>
              <w:tl2br w:val="nil"/>
              <w:tr2bl w:val="nil"/>
            </w:tcBorders>
            <w:vAlign w:val="center"/>
          </w:tcPr>
          <w:p w14:paraId="7CD024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  <w:t>理解财务管理概念、目标、环境，掌握2024年《企业数据资源会计处理暂行规定》核心条款，以及资金时间价值计算、投资风险评估方法。</w:t>
            </w:r>
          </w:p>
        </w:tc>
        <w:tc>
          <w:tcPr>
            <w:tcW w:w="1842" w:type="dxa"/>
            <w:vMerge w:val="restart"/>
            <w:tcBorders>
              <w:tl2br w:val="nil"/>
              <w:tr2bl w:val="nil"/>
            </w:tcBorders>
          </w:tcPr>
          <w:p w14:paraId="3EF4E2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课堂讲授：运用 PPT讲解概念、原理，结合实际案例分析环境影响。</w:t>
            </w:r>
          </w:p>
          <w:p w14:paraId="5638D9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小组讨论：组织学生讨论不同环境变化下企业的应对策略。</w:t>
            </w:r>
          </w:p>
          <w:p w14:paraId="60C8C3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课后作业：布置计算资金时间价值和投资风险价值的习题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1843" w:type="dxa"/>
            <w:vMerge w:val="restart"/>
            <w:tcBorders>
              <w:tl2br w:val="nil"/>
              <w:tr2bl w:val="nil"/>
            </w:tcBorders>
          </w:tcPr>
          <w:p w14:paraId="0B499B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通过讲解财务管理诚信案例，培养学生的职业道德和诚信意识；通过 “财务数据合规使用” 案例培养数据诚信意识，引导关注宏观经济以增强社会责任感。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567" w:type="dxa"/>
            <w:vMerge w:val="restart"/>
            <w:tcBorders>
              <w:tl2br w:val="nil"/>
              <w:tr2bl w:val="nil"/>
            </w:tcBorders>
            <w:vAlign w:val="center"/>
          </w:tcPr>
          <w:p w14:paraId="4D84C6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6</w:t>
            </w:r>
          </w:p>
        </w:tc>
      </w:tr>
      <w:tr w14:paraId="5A176C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5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17AF46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7C4118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1A0933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资金时间价值</w:t>
            </w:r>
          </w:p>
        </w:tc>
        <w:tc>
          <w:tcPr>
            <w:tcW w:w="1936" w:type="dxa"/>
            <w:vMerge w:val="continue"/>
            <w:tcBorders>
              <w:tl2br w:val="nil"/>
              <w:tr2bl w:val="nil"/>
            </w:tcBorders>
            <w:vAlign w:val="center"/>
          </w:tcPr>
          <w:p w14:paraId="756D7C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</w:tcPr>
          <w:p w14:paraId="253848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</w:tcPr>
          <w:p w14:paraId="033B88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567" w:type="dxa"/>
            <w:vMerge w:val="continue"/>
            <w:tcBorders>
              <w:tl2br w:val="nil"/>
              <w:tr2bl w:val="nil"/>
            </w:tcBorders>
            <w:vAlign w:val="center"/>
          </w:tcPr>
          <w:p w14:paraId="15C07C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5F1871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23AAE3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5FAF8B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548D4A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投资风险价值</w:t>
            </w:r>
          </w:p>
        </w:tc>
        <w:tc>
          <w:tcPr>
            <w:tcW w:w="1936" w:type="dxa"/>
            <w:vMerge w:val="continue"/>
            <w:tcBorders>
              <w:tl2br w:val="nil"/>
              <w:tr2bl w:val="nil"/>
            </w:tcBorders>
            <w:vAlign w:val="center"/>
          </w:tcPr>
          <w:p w14:paraId="3698DA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</w:tcPr>
          <w:p w14:paraId="038ADF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</w:tcPr>
          <w:p w14:paraId="6B5316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567" w:type="dxa"/>
            <w:vMerge w:val="continue"/>
            <w:tcBorders>
              <w:tl2br w:val="nil"/>
              <w:tr2bl w:val="nil"/>
            </w:tcBorders>
            <w:vAlign w:val="center"/>
          </w:tcPr>
          <w:p w14:paraId="3745C7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6A47B9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5A4600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2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vAlign w:val="center"/>
          </w:tcPr>
          <w:p w14:paraId="7EC5A4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筹资管理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E3853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资金需要量的预测</w:t>
            </w:r>
          </w:p>
        </w:tc>
        <w:tc>
          <w:tcPr>
            <w:tcW w:w="1936" w:type="dxa"/>
            <w:vMerge w:val="restart"/>
            <w:tcBorders>
              <w:tl2br w:val="nil"/>
              <w:tr2bl w:val="nil"/>
            </w:tcBorders>
            <w:vAlign w:val="center"/>
          </w:tcPr>
          <w:p w14:paraId="23BEEC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掌握资金需要量预测方法，分析筹资方式优缺点，运用资金成本与杠杆原理进行资金结构决策，且需能为多业态企业提供筹资建议。</w:t>
            </w:r>
          </w:p>
        </w:tc>
        <w:tc>
          <w:tcPr>
            <w:tcW w:w="1842" w:type="dxa"/>
            <w:vMerge w:val="restart"/>
            <w:tcBorders>
              <w:tl2br w:val="nil"/>
              <w:tr2bl w:val="nil"/>
            </w:tcBorders>
          </w:tcPr>
          <w:p w14:paraId="020797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案例教学：引入企业筹资案例，让学生分析预测资金需要量、选择筹资渠道和方式并优化资金结构。</w:t>
            </w:r>
          </w:p>
          <w:p w14:paraId="780E7E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小组竞赛：开展模拟企业筹资决策竞赛，激发学生学习兴趣。</w:t>
            </w:r>
          </w:p>
        </w:tc>
        <w:tc>
          <w:tcPr>
            <w:tcW w:w="1843" w:type="dxa"/>
            <w:vMerge w:val="restart"/>
            <w:tcBorders>
              <w:tl2br w:val="nil"/>
              <w:tr2bl w:val="nil"/>
            </w:tcBorders>
          </w:tcPr>
          <w:p w14:paraId="01CCF6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培养决策能力与合规意识，强调合法筹资对企业可持续发展的意义，同时通过竞赛强化团队协作精神。</w:t>
            </w:r>
          </w:p>
        </w:tc>
        <w:tc>
          <w:tcPr>
            <w:tcW w:w="567" w:type="dxa"/>
            <w:vMerge w:val="restart"/>
            <w:tcBorders>
              <w:tl2br w:val="nil"/>
              <w:tr2bl w:val="nil"/>
            </w:tcBorders>
            <w:vAlign w:val="center"/>
          </w:tcPr>
          <w:p w14:paraId="630137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</w:t>
            </w:r>
          </w:p>
        </w:tc>
      </w:tr>
      <w:tr w14:paraId="6235BB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0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35E78F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6C8486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219A3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筹资渠道和筹资方式</w:t>
            </w:r>
          </w:p>
        </w:tc>
        <w:tc>
          <w:tcPr>
            <w:tcW w:w="1936" w:type="dxa"/>
            <w:vMerge w:val="continue"/>
            <w:tcBorders>
              <w:tl2br w:val="nil"/>
              <w:tr2bl w:val="nil"/>
            </w:tcBorders>
            <w:vAlign w:val="center"/>
          </w:tcPr>
          <w:p w14:paraId="21B607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</w:tcPr>
          <w:p w14:paraId="377136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</w:tcPr>
          <w:p w14:paraId="5F3859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567" w:type="dxa"/>
            <w:vMerge w:val="continue"/>
            <w:tcBorders>
              <w:tl2br w:val="nil"/>
              <w:tr2bl w:val="nil"/>
            </w:tcBorders>
            <w:vAlign w:val="center"/>
          </w:tcPr>
          <w:p w14:paraId="1454FF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3372F2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04D004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6F348B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E7955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资金结构决策</w:t>
            </w:r>
          </w:p>
        </w:tc>
        <w:tc>
          <w:tcPr>
            <w:tcW w:w="1936" w:type="dxa"/>
            <w:vMerge w:val="continue"/>
            <w:tcBorders>
              <w:tl2br w:val="nil"/>
              <w:tr2bl w:val="nil"/>
            </w:tcBorders>
            <w:vAlign w:val="center"/>
          </w:tcPr>
          <w:p w14:paraId="62613B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  <w:vAlign w:val="center"/>
          </w:tcPr>
          <w:p w14:paraId="348155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  <w:vAlign w:val="center"/>
          </w:tcPr>
          <w:p w14:paraId="2C5A4E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567" w:type="dxa"/>
            <w:vMerge w:val="continue"/>
            <w:tcBorders>
              <w:tl2br w:val="nil"/>
              <w:tr2bl w:val="nil"/>
            </w:tcBorders>
            <w:vAlign w:val="center"/>
          </w:tcPr>
          <w:p w14:paraId="1F169B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7200BE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7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6EB03E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3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vAlign w:val="center"/>
          </w:tcPr>
          <w:p w14:paraId="6F23A2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项目投资管理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4932DC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新建项目投资管理</w:t>
            </w:r>
          </w:p>
        </w:tc>
        <w:tc>
          <w:tcPr>
            <w:tcW w:w="1936" w:type="dxa"/>
            <w:vMerge w:val="restart"/>
            <w:tcBorders>
              <w:tl2br w:val="nil"/>
              <w:tr2bl w:val="nil"/>
            </w:tcBorders>
            <w:vAlign w:val="center"/>
          </w:tcPr>
          <w:p w14:paraId="44605D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掌握新建项目现金流量估算、投资决策评价指标（净现值、内部收益率）应用，学会运用风控模型评估投资风险且模型AUC值≥0.85。教学设计，</w:t>
            </w:r>
          </w:p>
        </w:tc>
        <w:tc>
          <w:tcPr>
            <w:tcW w:w="1842" w:type="dxa"/>
            <w:vMerge w:val="restart"/>
            <w:tcBorders>
              <w:tl2br w:val="nil"/>
              <w:tr2bl w:val="nil"/>
            </w:tcBorders>
            <w:vAlign w:val="center"/>
          </w:tcPr>
          <w:p w14:paraId="2CA339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实践教学：利用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财务软件模拟实践、Python建模实操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财务软件进行项目投资决策模拟操作。</w:t>
            </w:r>
          </w:p>
          <w:p w14:paraId="449926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案例研讨：分析成功和失败的投资项目案例，总结经验教训</w:t>
            </w:r>
          </w:p>
        </w:tc>
        <w:tc>
          <w:tcPr>
            <w:tcW w:w="1843" w:type="dxa"/>
            <w:vMerge w:val="restart"/>
            <w:tcBorders>
              <w:tl2br w:val="nil"/>
              <w:tr2bl w:val="nil"/>
            </w:tcBorders>
            <w:vAlign w:val="center"/>
          </w:tcPr>
          <w:p w14:paraId="45E647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培养创新意识与技术伦理意识，引导关注项目经济效益与社会效益，强调模型结果合规使用。</w:t>
            </w:r>
          </w:p>
        </w:tc>
        <w:tc>
          <w:tcPr>
            <w:tcW w:w="567" w:type="dxa"/>
            <w:vMerge w:val="restart"/>
            <w:tcBorders>
              <w:tl2br w:val="nil"/>
              <w:tr2bl w:val="nil"/>
            </w:tcBorders>
            <w:vAlign w:val="center"/>
          </w:tcPr>
          <w:p w14:paraId="7CF252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6</w:t>
            </w:r>
          </w:p>
        </w:tc>
      </w:tr>
      <w:tr w14:paraId="4A50F0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8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0B03C8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2CE21D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71C356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智能风控模型应用</w:t>
            </w:r>
          </w:p>
        </w:tc>
        <w:tc>
          <w:tcPr>
            <w:tcW w:w="1936" w:type="dxa"/>
            <w:vMerge w:val="continue"/>
            <w:tcBorders>
              <w:tl2br w:val="nil"/>
              <w:tr2bl w:val="nil"/>
            </w:tcBorders>
            <w:vAlign w:val="center"/>
          </w:tcPr>
          <w:p w14:paraId="629913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  <w:vAlign w:val="center"/>
          </w:tcPr>
          <w:p w14:paraId="218463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  <w:vAlign w:val="center"/>
          </w:tcPr>
          <w:p w14:paraId="6DCD99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567" w:type="dxa"/>
            <w:vMerge w:val="continue"/>
            <w:tcBorders>
              <w:tl2br w:val="nil"/>
              <w:tr2bl w:val="nil"/>
            </w:tcBorders>
            <w:vAlign w:val="center"/>
          </w:tcPr>
          <w:p w14:paraId="2E44F9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42F89A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55AA98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ascii="仿宋_GB2312" w:hAnsi="仿宋_GB2312" w:cs="仿宋_GB2312"/>
                <w:sz w:val="24"/>
                <w:szCs w:val="24"/>
              </w:rPr>
              <w:t>4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vAlign w:val="center"/>
          </w:tcPr>
          <w:p w14:paraId="5C70C5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营运资金管理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134A27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现金管理</w:t>
            </w:r>
          </w:p>
        </w:tc>
        <w:tc>
          <w:tcPr>
            <w:tcW w:w="1936" w:type="dxa"/>
            <w:vMerge w:val="restart"/>
            <w:tcBorders>
              <w:tl2br w:val="nil"/>
              <w:tr2bl w:val="nil"/>
            </w:tcBorders>
            <w:vAlign w:val="center"/>
          </w:tcPr>
          <w:p w14:paraId="118202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了解营运资金各项目管理目标与方法，掌握最佳现金持有量确定、应收账款信用政策制定、存货经济订货批量计算方法，同时能操作智能资金预测系统（如用友U9 Cloud）与财务机器人执行相关流程。</w:t>
            </w:r>
          </w:p>
        </w:tc>
        <w:tc>
          <w:tcPr>
            <w:tcW w:w="1842" w:type="dxa"/>
            <w:vMerge w:val="restart"/>
            <w:tcBorders>
              <w:tl2br w:val="nil"/>
              <w:tr2bl w:val="nil"/>
            </w:tcBorders>
            <w:vAlign w:val="center"/>
          </w:tcPr>
          <w:p w14:paraId="24E85D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课堂练习：通过大量计算练习让学生掌握相关公式应用。</w:t>
            </w:r>
          </w:p>
          <w:p w14:paraId="104F48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角色扮演：设置企业营运资金管理场景，让学生扮演不同角色进行决策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，财务机器人沙盘实训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。</w:t>
            </w:r>
          </w:p>
          <w:p w14:paraId="112B97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小组汇报：组织小组调研企业营运资金管理情况并汇报</w:t>
            </w:r>
          </w:p>
        </w:tc>
        <w:tc>
          <w:tcPr>
            <w:tcW w:w="1843" w:type="dxa"/>
            <w:vMerge w:val="restart"/>
            <w:tcBorders>
              <w:tl2br w:val="nil"/>
              <w:tr2bl w:val="nil"/>
            </w:tcBorders>
            <w:vAlign w:val="center"/>
          </w:tcPr>
          <w:p w14:paraId="3CBB58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培养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学生的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资金管理能力与风险防范意识，引导正确认知智能技术对财务工作的赋能作用，强调现金安全与存货周转效率的重要性。</w:t>
            </w:r>
          </w:p>
        </w:tc>
        <w:tc>
          <w:tcPr>
            <w:tcW w:w="567" w:type="dxa"/>
            <w:vMerge w:val="restart"/>
            <w:tcBorders>
              <w:tl2br w:val="nil"/>
              <w:tr2bl w:val="nil"/>
            </w:tcBorders>
            <w:vAlign w:val="center"/>
          </w:tcPr>
          <w:p w14:paraId="122163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14</w:t>
            </w:r>
          </w:p>
        </w:tc>
      </w:tr>
      <w:tr w14:paraId="1462B1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5221A4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1BACA1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16581B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应收账款管理</w:t>
            </w:r>
          </w:p>
        </w:tc>
        <w:tc>
          <w:tcPr>
            <w:tcW w:w="1936" w:type="dxa"/>
            <w:vMerge w:val="continue"/>
            <w:tcBorders>
              <w:tl2br w:val="nil"/>
              <w:tr2bl w:val="nil"/>
            </w:tcBorders>
            <w:vAlign w:val="center"/>
          </w:tcPr>
          <w:p w14:paraId="2D6E96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  <w:vAlign w:val="center"/>
          </w:tcPr>
          <w:p w14:paraId="685FDD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  <w:vAlign w:val="center"/>
          </w:tcPr>
          <w:p w14:paraId="3E3482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567" w:type="dxa"/>
            <w:vMerge w:val="continue"/>
            <w:tcBorders>
              <w:tl2br w:val="nil"/>
              <w:tr2bl w:val="nil"/>
            </w:tcBorders>
            <w:vAlign w:val="center"/>
          </w:tcPr>
          <w:p w14:paraId="1C32AF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2102CC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1DF065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2964B4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17891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存货管理</w:t>
            </w:r>
          </w:p>
        </w:tc>
        <w:tc>
          <w:tcPr>
            <w:tcW w:w="1936" w:type="dxa"/>
            <w:vMerge w:val="continue"/>
            <w:tcBorders>
              <w:tl2br w:val="nil"/>
              <w:tr2bl w:val="nil"/>
            </w:tcBorders>
            <w:vAlign w:val="center"/>
          </w:tcPr>
          <w:p w14:paraId="7C8055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  <w:vAlign w:val="center"/>
          </w:tcPr>
          <w:p w14:paraId="61BF9D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  <w:vAlign w:val="center"/>
          </w:tcPr>
          <w:p w14:paraId="59615B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567" w:type="dxa"/>
            <w:vMerge w:val="continue"/>
            <w:tcBorders>
              <w:tl2br w:val="nil"/>
              <w:tr2bl w:val="nil"/>
            </w:tcBorders>
            <w:vAlign w:val="center"/>
          </w:tcPr>
          <w:p w14:paraId="766909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2C669D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267921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38CA9D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251A75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流动负债管理</w:t>
            </w:r>
          </w:p>
        </w:tc>
        <w:tc>
          <w:tcPr>
            <w:tcW w:w="1936" w:type="dxa"/>
            <w:vMerge w:val="continue"/>
            <w:tcBorders>
              <w:tl2br w:val="nil"/>
              <w:tr2bl w:val="nil"/>
            </w:tcBorders>
            <w:vAlign w:val="center"/>
          </w:tcPr>
          <w:p w14:paraId="182B8A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  <w:vAlign w:val="center"/>
          </w:tcPr>
          <w:p w14:paraId="0357E3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  <w:vAlign w:val="center"/>
          </w:tcPr>
          <w:p w14:paraId="6E77C9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567" w:type="dxa"/>
            <w:vMerge w:val="continue"/>
            <w:tcBorders>
              <w:tl2br w:val="nil"/>
              <w:tr2bl w:val="nil"/>
            </w:tcBorders>
            <w:vAlign w:val="center"/>
          </w:tcPr>
          <w:p w14:paraId="6872EA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4BA2CD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25E61D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49C8D2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051229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智能资金预测系统操作</w:t>
            </w:r>
          </w:p>
        </w:tc>
        <w:tc>
          <w:tcPr>
            <w:tcW w:w="1936" w:type="dxa"/>
            <w:vMerge w:val="continue"/>
            <w:tcBorders>
              <w:tl2br w:val="nil"/>
              <w:tr2bl w:val="nil"/>
            </w:tcBorders>
            <w:vAlign w:val="center"/>
          </w:tcPr>
          <w:p w14:paraId="5017D2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  <w:vAlign w:val="center"/>
          </w:tcPr>
          <w:p w14:paraId="3EA40E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  <w:vAlign w:val="center"/>
          </w:tcPr>
          <w:p w14:paraId="2C8D44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567" w:type="dxa"/>
            <w:vMerge w:val="continue"/>
            <w:tcBorders>
              <w:tl2br w:val="nil"/>
              <w:tr2bl w:val="nil"/>
            </w:tcBorders>
            <w:vAlign w:val="center"/>
          </w:tcPr>
          <w:p w14:paraId="4F4CCC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443822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7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3C92B9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vAlign w:val="center"/>
          </w:tcPr>
          <w:p w14:paraId="2DA519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收益分配管理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6F72E0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收入管理</w:t>
            </w:r>
          </w:p>
        </w:tc>
        <w:tc>
          <w:tcPr>
            <w:tcW w:w="1936" w:type="dxa"/>
            <w:vMerge w:val="restart"/>
            <w:tcBorders>
              <w:tl2br w:val="nil"/>
              <w:tr2bl w:val="nil"/>
            </w:tcBorders>
            <w:vAlign w:val="center"/>
          </w:tcPr>
          <w:p w14:paraId="1846F0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理解收入管理和利润管理的基本内容，掌握销售预测方法和销售定价管理策略，熟悉利润分配原则、程序和政策，能根据企业情况选择合适的利润分配政策</w:t>
            </w:r>
          </w:p>
        </w:tc>
        <w:tc>
          <w:tcPr>
            <w:tcW w:w="1842" w:type="dxa"/>
            <w:vMerge w:val="restart"/>
            <w:tcBorders>
              <w:tl2br w:val="nil"/>
              <w:tr2bl w:val="nil"/>
            </w:tcBorders>
            <w:vAlign w:val="center"/>
          </w:tcPr>
          <w:p w14:paraId="2A57D4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案例分析：结合企业实际销售和利润数据，分析收入和利润管理策略。</w:t>
            </w:r>
          </w:p>
          <w:p w14:paraId="00B9F4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小组辩论：就不同利润分配政策的优劣展开辩论。</w:t>
            </w:r>
          </w:p>
          <w:p w14:paraId="2BA0F8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模拟决策：让学生模拟企业进行收益分配决策</w:t>
            </w:r>
          </w:p>
        </w:tc>
        <w:tc>
          <w:tcPr>
            <w:tcW w:w="1843" w:type="dxa"/>
            <w:vMerge w:val="restart"/>
            <w:tcBorders>
              <w:tl2br w:val="nil"/>
              <w:tr2bl w:val="nil"/>
            </w:tcBorders>
            <w:vAlign w:val="center"/>
          </w:tcPr>
          <w:p w14:paraId="38F12D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培养学生的市场意识和企业战略眼光，引导学生认识到合理收益分配对企业可持续发展的重要性；在辩论中，培养学生的批判性思维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567" w:type="dxa"/>
            <w:vMerge w:val="restart"/>
            <w:tcBorders>
              <w:tl2br w:val="nil"/>
              <w:tr2bl w:val="nil"/>
            </w:tcBorders>
            <w:vAlign w:val="center"/>
          </w:tcPr>
          <w:p w14:paraId="7F965C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6</w:t>
            </w:r>
          </w:p>
        </w:tc>
      </w:tr>
      <w:tr w14:paraId="6934AE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74CFE3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293FDF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4E7B1A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利润管理</w:t>
            </w:r>
          </w:p>
        </w:tc>
        <w:tc>
          <w:tcPr>
            <w:tcW w:w="1936" w:type="dxa"/>
            <w:vMerge w:val="continue"/>
            <w:tcBorders>
              <w:tl2br w:val="nil"/>
              <w:tr2bl w:val="nil"/>
            </w:tcBorders>
            <w:vAlign w:val="center"/>
          </w:tcPr>
          <w:p w14:paraId="3B8A5B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  <w:vAlign w:val="center"/>
          </w:tcPr>
          <w:p w14:paraId="19F364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  <w:vAlign w:val="center"/>
          </w:tcPr>
          <w:p w14:paraId="72C823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567" w:type="dxa"/>
            <w:vMerge w:val="continue"/>
            <w:tcBorders>
              <w:tl2br w:val="nil"/>
              <w:tr2bl w:val="nil"/>
            </w:tcBorders>
            <w:vAlign w:val="center"/>
          </w:tcPr>
          <w:p w14:paraId="05ED72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2BC572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7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70BCEE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vAlign w:val="center"/>
          </w:tcPr>
          <w:p w14:paraId="3F0530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全面预算管理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2D8B0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全面预算体系和方法</w:t>
            </w:r>
          </w:p>
        </w:tc>
        <w:tc>
          <w:tcPr>
            <w:tcW w:w="1936" w:type="dxa"/>
            <w:vMerge w:val="restart"/>
            <w:tcBorders>
              <w:tl2br w:val="nil"/>
              <w:tr2bl w:val="nil"/>
            </w:tcBorders>
            <w:vAlign w:val="center"/>
          </w:tcPr>
          <w:p w14:paraId="2DE124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掌握全面预算体系构成（业务预算、专门决策预算、财务预算）与编制方法，学会分析评价预算执行情况，能运用Excel与财务机器人进行预算编制、录入，并开发包含3类以上图表的预算可视化看板</w:t>
            </w:r>
            <w:r>
              <w:rPr>
                <w:rFonts w:hint="eastAsia" w:ascii="仿宋_GB2312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1842" w:type="dxa"/>
            <w:vMerge w:val="restart"/>
            <w:tcBorders>
              <w:tl2br w:val="nil"/>
              <w:tr2bl w:val="nil"/>
            </w:tcBorders>
            <w:vAlign w:val="center"/>
          </w:tcPr>
          <w:p w14:paraId="539F0A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实践操作：使用 Excel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RPA实操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进行预算编制和分析练习。</w:t>
            </w:r>
          </w:p>
          <w:p w14:paraId="3E3716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案例剖析：分析企业全面预算管理案例，总结经验教训。</w:t>
            </w:r>
          </w:p>
          <w:p w14:paraId="1ED851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小组互评：组织小组互相评价预算编制和分析成果</w:t>
            </w:r>
          </w:p>
        </w:tc>
        <w:tc>
          <w:tcPr>
            <w:tcW w:w="1843" w:type="dxa"/>
            <w:vMerge w:val="restart"/>
            <w:tcBorders>
              <w:tl2br w:val="nil"/>
              <w:tr2bl w:val="nil"/>
            </w:tcBorders>
            <w:vAlign w:val="center"/>
          </w:tcPr>
          <w:p w14:paraId="0BE105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培养全局观念与严谨工作态度，引导关注预算与企业战略的匹配性，通过互评提升沟通能力与团队合作精神。</w:t>
            </w:r>
          </w:p>
        </w:tc>
        <w:tc>
          <w:tcPr>
            <w:tcW w:w="567" w:type="dxa"/>
            <w:vMerge w:val="restart"/>
            <w:tcBorders>
              <w:tl2br w:val="nil"/>
              <w:tr2bl w:val="nil"/>
            </w:tcBorders>
            <w:vAlign w:val="center"/>
          </w:tcPr>
          <w:p w14:paraId="48CA8C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8</w:t>
            </w:r>
          </w:p>
        </w:tc>
      </w:tr>
      <w:tr w14:paraId="490A3C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49CEBC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0CB8EF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50B7C6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预算的编制与分析</w:t>
            </w:r>
          </w:p>
        </w:tc>
        <w:tc>
          <w:tcPr>
            <w:tcW w:w="1936" w:type="dxa"/>
            <w:vMerge w:val="continue"/>
            <w:tcBorders>
              <w:tl2br w:val="nil"/>
              <w:tr2bl w:val="nil"/>
            </w:tcBorders>
            <w:vAlign w:val="center"/>
          </w:tcPr>
          <w:p w14:paraId="35332F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  <w:vAlign w:val="center"/>
          </w:tcPr>
          <w:p w14:paraId="29D2C5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  <w:vAlign w:val="center"/>
          </w:tcPr>
          <w:p w14:paraId="0AACD5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567" w:type="dxa"/>
            <w:vMerge w:val="continue"/>
            <w:tcBorders>
              <w:tl2br w:val="nil"/>
              <w:tr2bl w:val="nil"/>
            </w:tcBorders>
            <w:vAlign w:val="center"/>
          </w:tcPr>
          <w:p w14:paraId="1C57A5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30C0F0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5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11F36C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vAlign w:val="center"/>
          </w:tcPr>
          <w:p w14:paraId="0F7FF7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财务报告分析与评价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1B5D3E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财务报告分析</w:t>
            </w:r>
          </w:p>
        </w:tc>
        <w:tc>
          <w:tcPr>
            <w:tcW w:w="1936" w:type="dxa"/>
            <w:vMerge w:val="restart"/>
            <w:tcBorders>
              <w:tl2br w:val="nil"/>
              <w:tr2bl w:val="nil"/>
            </w:tcBorders>
            <w:vAlign w:val="center"/>
          </w:tcPr>
          <w:p w14:paraId="2F893B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  <w:t>学会资产负债表、利润表、现金流量表的</w:t>
            </w:r>
            <w:r>
              <w:rPr>
                <w:rFonts w:hint="eastAsia" w:ascii="仿宋_GB2312"/>
                <w:sz w:val="24"/>
                <w:szCs w:val="24"/>
                <w:lang w:val="en-US" w:eastAsia="zh-CN"/>
              </w:rPr>
              <w:t>传统</w:t>
            </w:r>
            <w:r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  <w:t>分析方法，掌握常用财务比率（偿债能力、营运能力、盈利能力等比率）的计算和分析，学会运用Python进行财务数据清洗与Jieba分词技术开展年报文本情感分析</w:t>
            </w:r>
            <w:r>
              <w:rPr>
                <w:rFonts w:hint="eastAsia" w:ascii="仿宋_GB2312"/>
                <w:sz w:val="24"/>
                <w:szCs w:val="24"/>
                <w:lang w:val="en-US" w:eastAsia="zh-CN"/>
              </w:rPr>
              <w:t>，熟悉杜邦分析体系并能开发财务可视化看板。</w:t>
            </w:r>
          </w:p>
        </w:tc>
        <w:tc>
          <w:tcPr>
            <w:tcW w:w="1842" w:type="dxa"/>
            <w:vMerge w:val="restart"/>
            <w:tcBorders>
              <w:tl2br w:val="nil"/>
              <w:tr2bl w:val="nil"/>
            </w:tcBorders>
            <w:vAlign w:val="center"/>
          </w:tcPr>
          <w:p w14:paraId="127406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课堂讲解：详细讲解财务报表分析方法和财务比率计算。</w:t>
            </w:r>
          </w:p>
          <w:p w14:paraId="51243C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实践演练：让学生对给定企业财务报表进行分析并撰写报告。</w:t>
            </w:r>
          </w:p>
        </w:tc>
        <w:tc>
          <w:tcPr>
            <w:tcW w:w="1843" w:type="dxa"/>
            <w:vMerge w:val="restart"/>
            <w:tcBorders>
              <w:tl2br w:val="nil"/>
              <w:tr2bl w:val="nil"/>
            </w:tcBorders>
            <w:vAlign w:val="center"/>
          </w:tcPr>
          <w:p w14:paraId="342509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培养数据解读能力与综合分析能力，强化《数据安全法》合规意识与数据真实性的伦理底线，引导树立 “用数据说话” 的专业态度。</w:t>
            </w:r>
          </w:p>
        </w:tc>
        <w:tc>
          <w:tcPr>
            <w:tcW w:w="567" w:type="dxa"/>
            <w:vMerge w:val="restart"/>
            <w:tcBorders>
              <w:tl2br w:val="nil"/>
              <w:tr2bl w:val="nil"/>
            </w:tcBorders>
            <w:vAlign w:val="center"/>
          </w:tcPr>
          <w:p w14:paraId="7B2E89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</w:t>
            </w:r>
          </w:p>
        </w:tc>
      </w:tr>
      <w:tr w14:paraId="41E0FD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8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380181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26EF69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7A07F6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财务综合分析与评价</w:t>
            </w:r>
          </w:p>
        </w:tc>
        <w:tc>
          <w:tcPr>
            <w:tcW w:w="1936" w:type="dxa"/>
            <w:vMerge w:val="continue"/>
            <w:tcBorders>
              <w:tl2br w:val="nil"/>
              <w:tr2bl w:val="nil"/>
            </w:tcBorders>
            <w:vAlign w:val="center"/>
          </w:tcPr>
          <w:p w14:paraId="661D18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  <w:vAlign w:val="center"/>
          </w:tcPr>
          <w:p w14:paraId="6B2051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  <w:vAlign w:val="center"/>
          </w:tcPr>
          <w:p w14:paraId="18805F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567" w:type="dxa"/>
            <w:vMerge w:val="continue"/>
            <w:tcBorders>
              <w:tl2br w:val="nil"/>
              <w:tr2bl w:val="nil"/>
            </w:tcBorders>
            <w:vAlign w:val="center"/>
          </w:tcPr>
          <w:p w14:paraId="31B16B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7516AA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29B417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bookmarkStart w:id="32" w:name="_Toc20287"/>
            <w:bookmarkStart w:id="33" w:name="_Toc18126"/>
            <w:bookmarkStart w:id="34" w:name="_Toc502337267"/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73EAA0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043F2D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年报文本情感分析</w:t>
            </w:r>
          </w:p>
        </w:tc>
        <w:tc>
          <w:tcPr>
            <w:tcW w:w="1936" w:type="dxa"/>
            <w:vMerge w:val="continue"/>
            <w:tcBorders>
              <w:tl2br w:val="nil"/>
              <w:tr2bl w:val="nil"/>
            </w:tcBorders>
            <w:vAlign w:val="center"/>
          </w:tcPr>
          <w:p w14:paraId="150798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  <w:vAlign w:val="center"/>
          </w:tcPr>
          <w:p w14:paraId="7A66A3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  <w:vAlign w:val="center"/>
          </w:tcPr>
          <w:p w14:paraId="3CA742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567" w:type="dxa"/>
            <w:vMerge w:val="continue"/>
            <w:tcBorders>
              <w:tl2br w:val="nil"/>
              <w:tr2bl w:val="nil"/>
            </w:tcBorders>
            <w:vAlign w:val="center"/>
          </w:tcPr>
          <w:p w14:paraId="2B7AF6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2D91D7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6507C5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0448AC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财务大数据挖掘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63D4A2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财务数据挖掘与可视化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35ED32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/>
                <w:sz w:val="24"/>
                <w:szCs w:val="24"/>
              </w:rPr>
              <w:t>掌握财务数据挖掘方法（如聚类分析），能对企业财务数据进行挖掘与建模，开发符合产业需求的可视化看板</w:t>
            </w:r>
            <w:r>
              <w:rPr>
                <w:rFonts w:hint="eastAsia" w:ascii="仿宋_GB2312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5EB013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使用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Python实操教学、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开展小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组项目（企业财务数据挖掘实践）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7AD924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培养创新能力与数据伦理意识，强调数据挖掘过程的合规性，引导关注大数据技术在财务管理领域的合理应用。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414A8C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4</w:t>
            </w:r>
          </w:p>
        </w:tc>
      </w:tr>
      <w:bookmarkEnd w:id="30"/>
      <w:bookmarkEnd w:id="31"/>
    </w:tbl>
    <w:p w14:paraId="33DC7A6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textAlignment w:val="auto"/>
      </w:pPr>
      <w:r>
        <w:rPr>
          <w:rFonts w:hint="eastAsia"/>
        </w:rPr>
        <w:t>七、学习评价</w:t>
      </w:r>
      <w:bookmarkEnd w:id="32"/>
      <w:bookmarkEnd w:id="33"/>
      <w:bookmarkEnd w:id="34"/>
    </w:p>
    <w:p w14:paraId="62C723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/>
        <w:textAlignment w:val="auto"/>
      </w:pPr>
      <w:r>
        <w:rPr>
          <w:rFonts w:hint="eastAsia"/>
          <w:b/>
          <w:bCs/>
        </w:rPr>
        <w:t>本课程达标要求：</w:t>
      </w:r>
    </w:p>
    <w:p w14:paraId="22B1B0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/>
        <w:jc w:val="center"/>
        <w:textAlignment w:val="auto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表4</w:t>
      </w:r>
      <w:r>
        <w:rPr>
          <w:rFonts w:ascii="仿宋_GB2312" w:hAnsi="仿宋_GB2312" w:cs="仿宋_GB2312"/>
          <w:b/>
          <w:bCs/>
          <w:sz w:val="24"/>
          <w:szCs w:val="21"/>
        </w:rPr>
        <w:t xml:space="preserve">. </w:t>
      </w:r>
      <w:r>
        <w:rPr>
          <w:rFonts w:hint="eastAsia" w:ascii="仿宋_GB2312" w:hAnsi="仿宋_GB2312" w:cs="仿宋_GB2312"/>
          <w:b/>
          <w:bCs/>
          <w:sz w:val="24"/>
          <w:szCs w:val="21"/>
        </w:rPr>
        <w:t>学习评价表</w:t>
      </w:r>
    </w:p>
    <w:tbl>
      <w:tblPr>
        <w:tblStyle w:val="15"/>
        <w:tblW w:w="965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"/>
        <w:gridCol w:w="1197"/>
        <w:gridCol w:w="1356"/>
        <w:gridCol w:w="3024"/>
        <w:gridCol w:w="2505"/>
        <w:gridCol w:w="851"/>
        <w:gridCol w:w="283"/>
      </w:tblGrid>
      <w:tr w14:paraId="3A6F68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293" w:hRule="atLeast"/>
        </w:trPr>
        <w:tc>
          <w:tcPr>
            <w:tcW w:w="442" w:type="dxa"/>
            <w:tcBorders>
              <w:tl2br w:val="nil"/>
              <w:tr2bl w:val="nil"/>
            </w:tcBorders>
            <w:vAlign w:val="center"/>
          </w:tcPr>
          <w:p w14:paraId="5F0202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评价环节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430C6A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课程内容</w:t>
            </w:r>
          </w:p>
          <w:p w14:paraId="7FEBA1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4542D7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3024" w:type="dxa"/>
            <w:tcBorders>
              <w:tl2br w:val="nil"/>
              <w:tr2bl w:val="nil"/>
            </w:tcBorders>
            <w:vAlign w:val="center"/>
          </w:tcPr>
          <w:p w14:paraId="6432CD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评价标准</w:t>
            </w:r>
          </w:p>
          <w:p w14:paraId="67468E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（学习产出合格要求）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vAlign w:val="center"/>
          </w:tcPr>
          <w:p w14:paraId="101A57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评价方法</w:t>
            </w:r>
          </w:p>
          <w:p w14:paraId="27136F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（方法、工具、场所）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518246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占比</w:t>
            </w:r>
          </w:p>
          <w:p w14:paraId="5B61C3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（%）</w:t>
            </w:r>
          </w:p>
        </w:tc>
      </w:tr>
      <w:tr w14:paraId="00E62E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188" w:hRule="atLeast"/>
        </w:trPr>
        <w:tc>
          <w:tcPr>
            <w:tcW w:w="442" w:type="dxa"/>
            <w:vMerge w:val="restart"/>
            <w:tcBorders>
              <w:tl2br w:val="nil"/>
              <w:tr2bl w:val="nil"/>
            </w:tcBorders>
          </w:tcPr>
          <w:p w14:paraId="6A40F6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bookmarkStart w:id="35" w:name="_Toc11140"/>
            <w:bookmarkStart w:id="36" w:name="_Toc502337268"/>
            <w:bookmarkStart w:id="37" w:name="_Toc18233"/>
          </w:p>
          <w:p w14:paraId="524505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039512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1836F4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337175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3C7026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34FB59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3D5F35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175C7C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0AF9E2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0AAE07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237310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5B4E92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1122BB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1CB616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7F9278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68EFD6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过程性评价</w:t>
            </w:r>
          </w:p>
        </w:tc>
        <w:tc>
          <w:tcPr>
            <w:tcW w:w="119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D56D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企业财务管理前准备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1A93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企业财务管理的基本知识</w:t>
            </w:r>
          </w:p>
        </w:tc>
        <w:tc>
          <w:tcPr>
            <w:tcW w:w="3024" w:type="dxa"/>
            <w:vMerge w:val="restart"/>
            <w:tcBorders>
              <w:tl2br w:val="nil"/>
              <w:tr2bl w:val="nil"/>
            </w:tcBorders>
            <w:vAlign w:val="center"/>
          </w:tcPr>
          <w:p w14:paraId="62712D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准确阐述财务管理概念、目标及 2024 年《企业数据资源会计处理暂行规定》核心条款；资金时间价值计算准确率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，投资风险分析逻辑清晰</w:t>
            </w:r>
          </w:p>
        </w:tc>
        <w:tc>
          <w:tcPr>
            <w:tcW w:w="2505" w:type="dxa"/>
            <w:vMerge w:val="restart"/>
            <w:tcBorders>
              <w:tl2br w:val="nil"/>
              <w:tr2bl w:val="nil"/>
            </w:tcBorders>
            <w:vAlign w:val="center"/>
          </w:tcPr>
          <w:p w14:paraId="0908DB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作业完成情况评价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、课堂提问、案例分析考核（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教室或机房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）。</w:t>
            </w:r>
          </w:p>
        </w:tc>
        <w:tc>
          <w:tcPr>
            <w:tcW w:w="851" w:type="dxa"/>
            <w:vMerge w:val="restart"/>
            <w:tcBorders>
              <w:tl2br w:val="nil"/>
              <w:tr2bl w:val="nil"/>
            </w:tcBorders>
            <w:vAlign w:val="center"/>
          </w:tcPr>
          <w:p w14:paraId="384B3B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10%</w:t>
            </w:r>
          </w:p>
        </w:tc>
      </w:tr>
      <w:tr w14:paraId="51B46B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188" w:hRule="atLeast"/>
        </w:trPr>
        <w:tc>
          <w:tcPr>
            <w:tcW w:w="442" w:type="dxa"/>
            <w:vMerge w:val="continue"/>
            <w:tcBorders/>
          </w:tcPr>
          <w:p w14:paraId="63BC45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vAlign w:val="center"/>
          </w:tcPr>
          <w:p w14:paraId="61C503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0EDD9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资金时间价值</w:t>
            </w:r>
          </w:p>
        </w:tc>
        <w:tc>
          <w:tcPr>
            <w:tcW w:w="3024" w:type="dxa"/>
            <w:vMerge w:val="continue"/>
          </w:tcPr>
          <w:p w14:paraId="716B8C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505" w:type="dxa"/>
            <w:vMerge w:val="continue"/>
            <w:vAlign w:val="center"/>
          </w:tcPr>
          <w:p w14:paraId="61C8AA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vAlign w:val="center"/>
          </w:tcPr>
          <w:p w14:paraId="7EB54E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683ED4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188" w:hRule="atLeast"/>
        </w:trPr>
        <w:tc>
          <w:tcPr>
            <w:tcW w:w="442" w:type="dxa"/>
            <w:vMerge w:val="continue"/>
            <w:tcBorders/>
          </w:tcPr>
          <w:p w14:paraId="259A5C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vAlign w:val="center"/>
          </w:tcPr>
          <w:p w14:paraId="022B6A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1C61B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投资风险价值</w:t>
            </w:r>
          </w:p>
        </w:tc>
        <w:tc>
          <w:tcPr>
            <w:tcW w:w="3024" w:type="dxa"/>
            <w:vMerge w:val="continue"/>
          </w:tcPr>
          <w:p w14:paraId="3A2C0A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505" w:type="dxa"/>
            <w:vMerge w:val="continue"/>
            <w:vAlign w:val="center"/>
          </w:tcPr>
          <w:p w14:paraId="77A4C9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vAlign w:val="center"/>
          </w:tcPr>
          <w:p w14:paraId="3D37A4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7E39D5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188" w:hRule="atLeast"/>
        </w:trPr>
        <w:tc>
          <w:tcPr>
            <w:tcW w:w="442" w:type="dxa"/>
            <w:vMerge w:val="continue"/>
            <w:tcBorders/>
          </w:tcPr>
          <w:p w14:paraId="65D853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restart"/>
            <w:shd w:val="clear" w:color="auto" w:fill="auto"/>
            <w:vAlign w:val="center"/>
          </w:tcPr>
          <w:p w14:paraId="25F142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筹资管理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7993D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资金需要量的预测</w:t>
            </w:r>
          </w:p>
        </w:tc>
        <w:tc>
          <w:tcPr>
            <w:tcW w:w="3024" w:type="dxa"/>
            <w:vMerge w:val="restart"/>
          </w:tcPr>
          <w:p w14:paraId="5C8412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掌握资金需要量预测的方法；熟悉企业的筹资渠道和筹资方式及其优缺点；学会运用资金成本计算和杠杆原理进行资金结构决策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2505" w:type="dxa"/>
            <w:vMerge w:val="restart"/>
            <w:vAlign w:val="center"/>
          </w:tcPr>
          <w:p w14:paraId="2AEECD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作业完成情况评价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、课堂提问、案例分析考核（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教室或机房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）。</w:t>
            </w:r>
          </w:p>
        </w:tc>
        <w:tc>
          <w:tcPr>
            <w:tcW w:w="851" w:type="dxa"/>
            <w:vMerge w:val="restart"/>
            <w:vAlign w:val="center"/>
          </w:tcPr>
          <w:p w14:paraId="058669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10%</w:t>
            </w:r>
          </w:p>
        </w:tc>
      </w:tr>
      <w:tr w14:paraId="0B493C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776" w:hRule="atLeast"/>
        </w:trPr>
        <w:tc>
          <w:tcPr>
            <w:tcW w:w="442" w:type="dxa"/>
            <w:vMerge w:val="continue"/>
            <w:tcBorders/>
          </w:tcPr>
          <w:p w14:paraId="45775A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vAlign w:val="center"/>
          </w:tcPr>
          <w:p w14:paraId="062857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74D1F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筹资渠道和筹资方式</w:t>
            </w:r>
          </w:p>
        </w:tc>
        <w:tc>
          <w:tcPr>
            <w:tcW w:w="3024" w:type="dxa"/>
            <w:vMerge w:val="continue"/>
          </w:tcPr>
          <w:p w14:paraId="258EBC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505" w:type="dxa"/>
            <w:vMerge w:val="continue"/>
            <w:vAlign w:val="center"/>
          </w:tcPr>
          <w:p w14:paraId="490F71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vAlign w:val="center"/>
          </w:tcPr>
          <w:p w14:paraId="07284F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3229C7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188" w:hRule="atLeast"/>
        </w:trPr>
        <w:tc>
          <w:tcPr>
            <w:tcW w:w="442" w:type="dxa"/>
            <w:vMerge w:val="continue"/>
            <w:tcBorders/>
          </w:tcPr>
          <w:p w14:paraId="2E8BF9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vAlign w:val="center"/>
          </w:tcPr>
          <w:p w14:paraId="17D98E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BC2DB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资金结构决策</w:t>
            </w:r>
          </w:p>
        </w:tc>
        <w:tc>
          <w:tcPr>
            <w:tcW w:w="3024" w:type="dxa"/>
            <w:vMerge w:val="continue"/>
          </w:tcPr>
          <w:p w14:paraId="7849D4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505" w:type="dxa"/>
            <w:vMerge w:val="continue"/>
            <w:vAlign w:val="center"/>
          </w:tcPr>
          <w:p w14:paraId="74FAEC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vAlign w:val="center"/>
          </w:tcPr>
          <w:p w14:paraId="026A9A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5EFA48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1411" w:hRule="atLeast"/>
        </w:trPr>
        <w:tc>
          <w:tcPr>
            <w:tcW w:w="442" w:type="dxa"/>
            <w:vMerge w:val="continue"/>
            <w:tcBorders/>
          </w:tcPr>
          <w:p w14:paraId="620092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restart"/>
            <w:shd w:val="clear" w:color="auto" w:fill="auto"/>
            <w:vAlign w:val="center"/>
          </w:tcPr>
          <w:p w14:paraId="2BE8DB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项目投资管理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E5867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新建项目投资管理</w:t>
            </w:r>
          </w:p>
        </w:tc>
        <w:tc>
          <w:tcPr>
            <w:tcW w:w="3024" w:type="dxa"/>
            <w:vMerge w:val="restart"/>
          </w:tcPr>
          <w:p w14:paraId="7528FA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熟练掌握新建项目现金流量估算方法，准确计算投资决策指标，理解智能风控模型原理及参数影响；技能层面，财务软件模拟操作步骤正确率≥95%，Python建模需构建AUC值≥0.85的风控模型并合理解读结果，且能结合产业场景优化投资建议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2505" w:type="dxa"/>
            <w:vMerge w:val="restart"/>
            <w:vAlign w:val="center"/>
          </w:tcPr>
          <w:p w14:paraId="6C920E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作业完成情况评价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、课堂提问、案例分析考核（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教室或机房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）。</w:t>
            </w:r>
          </w:p>
        </w:tc>
        <w:tc>
          <w:tcPr>
            <w:tcW w:w="851" w:type="dxa"/>
            <w:vMerge w:val="restart"/>
            <w:vAlign w:val="center"/>
          </w:tcPr>
          <w:p w14:paraId="586F4B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10%</w:t>
            </w:r>
          </w:p>
        </w:tc>
      </w:tr>
      <w:tr w14:paraId="0BB13D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188" w:hRule="atLeast"/>
        </w:trPr>
        <w:tc>
          <w:tcPr>
            <w:tcW w:w="442" w:type="dxa"/>
            <w:vMerge w:val="continue"/>
            <w:tcBorders/>
          </w:tcPr>
          <w:p w14:paraId="6BA42A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vAlign w:val="center"/>
          </w:tcPr>
          <w:p w14:paraId="4A4826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C5169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智能风控模型应用</w:t>
            </w:r>
          </w:p>
        </w:tc>
        <w:tc>
          <w:tcPr>
            <w:tcW w:w="3024" w:type="dxa"/>
            <w:vMerge w:val="continue"/>
          </w:tcPr>
          <w:p w14:paraId="6B8E6C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505" w:type="dxa"/>
            <w:vMerge w:val="continue"/>
            <w:vAlign w:val="center"/>
          </w:tcPr>
          <w:p w14:paraId="23FFBD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vAlign w:val="center"/>
          </w:tcPr>
          <w:p w14:paraId="25A810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4754B2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527" w:hRule="atLeast"/>
        </w:trPr>
        <w:tc>
          <w:tcPr>
            <w:tcW w:w="442" w:type="dxa"/>
            <w:vMerge w:val="continue"/>
            <w:tcBorders/>
          </w:tcPr>
          <w:p w14:paraId="6F4C9A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restart"/>
            <w:shd w:val="clear" w:color="auto" w:fill="auto"/>
            <w:vAlign w:val="center"/>
          </w:tcPr>
          <w:p w14:paraId="4C6DB1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营运资金管理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56BA3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现金管理</w:t>
            </w:r>
          </w:p>
        </w:tc>
        <w:tc>
          <w:tcPr>
            <w:tcW w:w="3024" w:type="dxa"/>
            <w:vMerge w:val="restart"/>
          </w:tcPr>
          <w:p w14:paraId="708B4D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准确阐述营运资金各项目管理目标与方法（描述完整性≥90%），熟练计算最佳现金持有量与存货经济订货批量（准确率≥90%），理解智能资金预测系统与财务机器人工作逻辑；角色扮演需制定符合企业需求的资金管理政策，财务机器人实训流程执行准确率≥95%，智能资金预测误差率≤15%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2505" w:type="dxa"/>
            <w:vMerge w:val="restart"/>
            <w:vAlign w:val="center"/>
          </w:tcPr>
          <w:p w14:paraId="76303D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作业完成情况评价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、课堂提问、案例分析考核（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教室或机房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）。</w:t>
            </w:r>
          </w:p>
        </w:tc>
        <w:tc>
          <w:tcPr>
            <w:tcW w:w="851" w:type="dxa"/>
            <w:vMerge w:val="restart"/>
            <w:vAlign w:val="center"/>
          </w:tcPr>
          <w:p w14:paraId="1587C2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10%</w:t>
            </w:r>
          </w:p>
        </w:tc>
      </w:tr>
      <w:tr w14:paraId="4365F1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726" w:hRule="atLeast"/>
        </w:trPr>
        <w:tc>
          <w:tcPr>
            <w:tcW w:w="442" w:type="dxa"/>
            <w:vMerge w:val="continue"/>
            <w:tcBorders/>
          </w:tcPr>
          <w:p w14:paraId="711936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tcBorders/>
            <w:vAlign w:val="center"/>
          </w:tcPr>
          <w:p w14:paraId="3A78FE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F8DA8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应收账款管理</w:t>
            </w:r>
          </w:p>
        </w:tc>
        <w:tc>
          <w:tcPr>
            <w:tcW w:w="3024" w:type="dxa"/>
            <w:vMerge w:val="continue"/>
            <w:tcBorders/>
          </w:tcPr>
          <w:p w14:paraId="4A8013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505" w:type="dxa"/>
            <w:vMerge w:val="continue"/>
            <w:tcBorders/>
            <w:vAlign w:val="center"/>
          </w:tcPr>
          <w:p w14:paraId="6A8CD7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/>
            <w:vAlign w:val="center"/>
          </w:tcPr>
          <w:p w14:paraId="76FF0A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61AC11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499" w:hRule="atLeast"/>
        </w:trPr>
        <w:tc>
          <w:tcPr>
            <w:tcW w:w="442" w:type="dxa"/>
            <w:vMerge w:val="continue"/>
            <w:tcBorders/>
          </w:tcPr>
          <w:p w14:paraId="7FB795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tcBorders/>
            <w:vAlign w:val="center"/>
          </w:tcPr>
          <w:p w14:paraId="56F3AE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737D8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存货管理</w:t>
            </w:r>
          </w:p>
        </w:tc>
        <w:tc>
          <w:tcPr>
            <w:tcW w:w="3024" w:type="dxa"/>
            <w:vMerge w:val="continue"/>
            <w:tcBorders/>
          </w:tcPr>
          <w:p w14:paraId="3CB9FA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505" w:type="dxa"/>
            <w:vMerge w:val="continue"/>
            <w:tcBorders/>
            <w:vAlign w:val="center"/>
          </w:tcPr>
          <w:p w14:paraId="497AE8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/>
            <w:vAlign w:val="center"/>
          </w:tcPr>
          <w:p w14:paraId="3649E5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6FE3DD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895" w:hRule="atLeast"/>
        </w:trPr>
        <w:tc>
          <w:tcPr>
            <w:tcW w:w="442" w:type="dxa"/>
            <w:vMerge w:val="continue"/>
            <w:tcBorders/>
          </w:tcPr>
          <w:p w14:paraId="4E6F2F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tcBorders/>
            <w:vAlign w:val="center"/>
          </w:tcPr>
          <w:p w14:paraId="6123D7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E1F39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流动负债管理</w:t>
            </w:r>
          </w:p>
        </w:tc>
        <w:tc>
          <w:tcPr>
            <w:tcW w:w="3024" w:type="dxa"/>
            <w:vMerge w:val="continue"/>
            <w:tcBorders/>
          </w:tcPr>
          <w:p w14:paraId="40BF98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505" w:type="dxa"/>
            <w:vMerge w:val="continue"/>
            <w:tcBorders/>
            <w:vAlign w:val="center"/>
          </w:tcPr>
          <w:p w14:paraId="702AD6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/>
            <w:vAlign w:val="center"/>
          </w:tcPr>
          <w:p w14:paraId="27517C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3C439C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188" w:hRule="atLeast"/>
        </w:trPr>
        <w:tc>
          <w:tcPr>
            <w:tcW w:w="442" w:type="dxa"/>
            <w:vMerge w:val="continue"/>
            <w:tcBorders/>
          </w:tcPr>
          <w:p w14:paraId="4EC2AC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tcBorders/>
            <w:vAlign w:val="center"/>
          </w:tcPr>
          <w:p w14:paraId="15FAF3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F8A1D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智能资金预测系统操作</w:t>
            </w:r>
          </w:p>
        </w:tc>
        <w:tc>
          <w:tcPr>
            <w:tcW w:w="3024" w:type="dxa"/>
            <w:vMerge w:val="continue"/>
            <w:tcBorders/>
          </w:tcPr>
          <w:p w14:paraId="046AD1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505" w:type="dxa"/>
            <w:vMerge w:val="continue"/>
            <w:tcBorders/>
            <w:vAlign w:val="center"/>
          </w:tcPr>
          <w:p w14:paraId="3DEC52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/>
            <w:vAlign w:val="center"/>
          </w:tcPr>
          <w:p w14:paraId="68971E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477393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1106" w:hRule="atLeast"/>
        </w:trPr>
        <w:tc>
          <w:tcPr>
            <w:tcW w:w="442" w:type="dxa"/>
            <w:vMerge w:val="continue"/>
            <w:tcBorders/>
          </w:tcPr>
          <w:p w14:paraId="38B715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restart"/>
            <w:shd w:val="clear" w:color="auto" w:fill="auto"/>
            <w:vAlign w:val="center"/>
          </w:tcPr>
          <w:p w14:paraId="293FEB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收益分配管理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5C67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收入管理</w:t>
            </w:r>
          </w:p>
        </w:tc>
        <w:tc>
          <w:tcPr>
            <w:tcW w:w="3024" w:type="dxa"/>
            <w:vMerge w:val="restart"/>
          </w:tcPr>
          <w:p w14:paraId="432F45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理解收入管理和利润管理的基本内容；掌握销售预测方法（定性和定量）和销售定价管理策略；熟悉利润分配原则、程序和政策，能根据企业情况选择合适的利润分配政策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2505" w:type="dxa"/>
            <w:vMerge w:val="restart"/>
            <w:vAlign w:val="center"/>
          </w:tcPr>
          <w:p w14:paraId="1E53D2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作业完成情况评价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、课堂提问、案例分析考核（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教室或机房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）。</w:t>
            </w:r>
          </w:p>
        </w:tc>
        <w:tc>
          <w:tcPr>
            <w:tcW w:w="851" w:type="dxa"/>
            <w:vMerge w:val="restart"/>
            <w:vAlign w:val="center"/>
          </w:tcPr>
          <w:p w14:paraId="10DA32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10%</w:t>
            </w:r>
          </w:p>
        </w:tc>
      </w:tr>
      <w:tr w14:paraId="5A6A48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188" w:hRule="atLeast"/>
        </w:trPr>
        <w:tc>
          <w:tcPr>
            <w:tcW w:w="442" w:type="dxa"/>
            <w:vMerge w:val="continue"/>
            <w:tcBorders/>
          </w:tcPr>
          <w:p w14:paraId="5FAD76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vAlign w:val="center"/>
          </w:tcPr>
          <w:p w14:paraId="4C48AD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4D070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利润管理</w:t>
            </w:r>
          </w:p>
        </w:tc>
        <w:tc>
          <w:tcPr>
            <w:tcW w:w="3024" w:type="dxa"/>
            <w:vMerge w:val="continue"/>
          </w:tcPr>
          <w:p w14:paraId="613D63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505" w:type="dxa"/>
            <w:vMerge w:val="continue"/>
            <w:vAlign w:val="center"/>
          </w:tcPr>
          <w:p w14:paraId="328AED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vAlign w:val="center"/>
          </w:tcPr>
          <w:p w14:paraId="3FECB8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45E085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188" w:hRule="atLeast"/>
        </w:trPr>
        <w:tc>
          <w:tcPr>
            <w:tcW w:w="442" w:type="dxa"/>
            <w:vMerge w:val="continue"/>
            <w:tcBorders/>
          </w:tcPr>
          <w:p w14:paraId="2F782A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restart"/>
            <w:shd w:val="clear" w:color="auto" w:fill="auto"/>
            <w:vAlign w:val="center"/>
          </w:tcPr>
          <w:p w14:paraId="1C6FB6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全面预算管理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602B2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全面预算体系和方法</w:t>
            </w:r>
          </w:p>
        </w:tc>
        <w:tc>
          <w:tcPr>
            <w:tcW w:w="3024" w:type="dxa"/>
            <w:vMerge w:val="restart"/>
          </w:tcPr>
          <w:p w14:paraId="1D4FFA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完整阐述全面预算体系构成，熟练掌握4种以上预算编制方法及适用场景，准确解释预算执行分析指标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熟练操作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Excel编制业务预算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以及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RPA预算录入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2505" w:type="dxa"/>
            <w:vMerge w:val="restart"/>
            <w:vAlign w:val="center"/>
          </w:tcPr>
          <w:p w14:paraId="5F3905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作业完成情况评价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、课堂提问、案例分析考核（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教室或机房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）。</w:t>
            </w:r>
          </w:p>
        </w:tc>
        <w:tc>
          <w:tcPr>
            <w:tcW w:w="851" w:type="dxa"/>
            <w:vMerge w:val="restart"/>
            <w:vAlign w:val="center"/>
          </w:tcPr>
          <w:p w14:paraId="2DF831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15%</w:t>
            </w:r>
          </w:p>
        </w:tc>
      </w:tr>
      <w:tr w14:paraId="130A34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188" w:hRule="atLeast"/>
        </w:trPr>
        <w:tc>
          <w:tcPr>
            <w:tcW w:w="442" w:type="dxa"/>
            <w:vMerge w:val="continue"/>
            <w:tcBorders/>
          </w:tcPr>
          <w:p w14:paraId="305C2B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vAlign w:val="center"/>
          </w:tcPr>
          <w:p w14:paraId="615AD3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8B585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预算的编制与分析</w:t>
            </w:r>
          </w:p>
        </w:tc>
        <w:tc>
          <w:tcPr>
            <w:tcW w:w="3024" w:type="dxa"/>
            <w:vMerge w:val="continue"/>
          </w:tcPr>
          <w:p w14:paraId="580761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505" w:type="dxa"/>
            <w:vMerge w:val="continue"/>
            <w:vAlign w:val="center"/>
          </w:tcPr>
          <w:p w14:paraId="5278DB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vAlign w:val="center"/>
          </w:tcPr>
          <w:p w14:paraId="06993B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7C44EF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90" w:hRule="atLeast"/>
        </w:trPr>
        <w:tc>
          <w:tcPr>
            <w:tcW w:w="442" w:type="dxa"/>
            <w:vMerge w:val="continue"/>
            <w:tcBorders/>
          </w:tcPr>
          <w:p w14:paraId="1BCE35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restart"/>
            <w:shd w:val="clear" w:color="auto" w:fill="auto"/>
            <w:vAlign w:val="center"/>
          </w:tcPr>
          <w:p w14:paraId="3794D2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财务报告分析与评价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CB6F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财务报告分析</w:t>
            </w:r>
          </w:p>
        </w:tc>
        <w:tc>
          <w:tcPr>
            <w:tcW w:w="3024" w:type="dxa"/>
            <w:vMerge w:val="restart"/>
          </w:tcPr>
          <w:p w14:paraId="2C7D86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熟练掌握财务报表分析方法，准确计算财务比率，理解Python数据清洗、Jieba 分词技术及杜邦分析体系；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且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数据清洗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年报情感识别准确率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，综合分析报告需含传统与大数据分析内容且能提出解决方案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2505" w:type="dxa"/>
            <w:vMerge w:val="restart"/>
            <w:vAlign w:val="center"/>
          </w:tcPr>
          <w:p w14:paraId="10EFB6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作业完成情况评价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、课堂提问、案例分析考核（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教室或机房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）。</w:t>
            </w:r>
          </w:p>
        </w:tc>
        <w:tc>
          <w:tcPr>
            <w:tcW w:w="851" w:type="dxa"/>
            <w:vMerge w:val="restart"/>
            <w:vAlign w:val="center"/>
          </w:tcPr>
          <w:p w14:paraId="38F32B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30%</w:t>
            </w:r>
          </w:p>
        </w:tc>
      </w:tr>
      <w:tr w14:paraId="3AB792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trHeight w:val="1141" w:hRule="atLeast"/>
        </w:trPr>
        <w:tc>
          <w:tcPr>
            <w:tcW w:w="442" w:type="dxa"/>
            <w:vMerge w:val="continue"/>
            <w:tcBorders/>
          </w:tcPr>
          <w:p w14:paraId="6B8603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shd w:val="clear" w:color="auto" w:fill="auto"/>
            <w:vAlign w:val="center"/>
          </w:tcPr>
          <w:p w14:paraId="722886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B10E5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财务综合分析与评价</w:t>
            </w:r>
          </w:p>
        </w:tc>
        <w:tc>
          <w:tcPr>
            <w:tcW w:w="3024" w:type="dxa"/>
            <w:vMerge w:val="continue"/>
          </w:tcPr>
          <w:p w14:paraId="7A60F3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</w:tc>
        <w:tc>
          <w:tcPr>
            <w:tcW w:w="2505" w:type="dxa"/>
            <w:vMerge w:val="continue"/>
            <w:vAlign w:val="center"/>
          </w:tcPr>
          <w:p w14:paraId="5A006A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vAlign w:val="center"/>
          </w:tcPr>
          <w:p w14:paraId="3211AC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2B1D38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" w:hRule="atLeast"/>
        </w:trPr>
        <w:tc>
          <w:tcPr>
            <w:tcW w:w="442" w:type="dxa"/>
            <w:vMerge w:val="continue"/>
            <w:tcBorders/>
          </w:tcPr>
          <w:p w14:paraId="4E5D01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vAlign w:val="center"/>
          </w:tcPr>
          <w:p w14:paraId="418F77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0E7D0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年报文本情感分析</w:t>
            </w:r>
          </w:p>
        </w:tc>
        <w:tc>
          <w:tcPr>
            <w:tcW w:w="3024" w:type="dxa"/>
            <w:vMerge w:val="continue"/>
          </w:tcPr>
          <w:p w14:paraId="014F00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505" w:type="dxa"/>
            <w:vMerge w:val="continue"/>
            <w:vAlign w:val="center"/>
          </w:tcPr>
          <w:p w14:paraId="4BAFD5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Merge w:val="restart"/>
            <w:vAlign w:val="center"/>
          </w:tcPr>
          <w:p w14:paraId="589E30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594541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" w:hRule="atLeast"/>
        </w:trPr>
        <w:tc>
          <w:tcPr>
            <w:tcW w:w="442" w:type="dxa"/>
            <w:vMerge w:val="continue"/>
            <w:tcBorders/>
          </w:tcPr>
          <w:p w14:paraId="033282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Align w:val="center"/>
          </w:tcPr>
          <w:p w14:paraId="6A8FE9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财务大数据挖掘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DD6E3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财务数据挖掘与可视化</w:t>
            </w:r>
          </w:p>
        </w:tc>
        <w:tc>
          <w:tcPr>
            <w:tcW w:w="3024" w:type="dxa"/>
          </w:tcPr>
          <w:p w14:paraId="54B831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理解财务数据挖掘方法（如聚类、回归）及适用场景，熟悉数据挖掘全流程及关键控制点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且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数据预处理质量达标，小组项目需构建有效财务挖掘模型并为管理提供参考，可视化看板需符合产业需求且信息直观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2505" w:type="dxa"/>
            <w:vAlign w:val="center"/>
          </w:tcPr>
          <w:p w14:paraId="3E8382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作业完成情况评价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、课堂提问、案例分析考核（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教室或机房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）。</w:t>
            </w:r>
          </w:p>
        </w:tc>
        <w:tc>
          <w:tcPr>
            <w:tcW w:w="1134" w:type="dxa"/>
            <w:gridSpan w:val="2"/>
            <w:vAlign w:val="center"/>
          </w:tcPr>
          <w:p w14:paraId="018272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5%</w:t>
            </w:r>
          </w:p>
        </w:tc>
      </w:tr>
    </w:tbl>
    <w:p w14:paraId="4559CE66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53"/>
        <w:textAlignment w:val="auto"/>
      </w:pPr>
      <w:r>
        <w:rPr>
          <w:rFonts w:hint="eastAsia"/>
        </w:rPr>
        <w:t>八、教学资源</w:t>
      </w:r>
      <w:bookmarkEnd w:id="35"/>
      <w:bookmarkEnd w:id="36"/>
      <w:bookmarkEnd w:id="37"/>
    </w:p>
    <w:p w14:paraId="02B168D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560"/>
        <w:textAlignment w:val="auto"/>
        <w:rPr>
          <w:rFonts w:hint="eastAsia"/>
        </w:rPr>
      </w:pPr>
      <w:bookmarkStart w:id="38" w:name="_Toc20587"/>
      <w:bookmarkStart w:id="39" w:name="_Toc16925"/>
      <w:r>
        <w:rPr>
          <w:rFonts w:hint="eastAsia"/>
        </w:rPr>
        <w:t>（一）主要参考教材</w:t>
      </w:r>
      <w:bookmarkEnd w:id="38"/>
      <w:bookmarkEnd w:id="39"/>
    </w:p>
    <w:p w14:paraId="34D62F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《智能财务分析（2025版）》</w:t>
      </w:r>
    </w:p>
    <w:p w14:paraId="012C78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《管理会计数智化教程 》</w:t>
      </w:r>
    </w:p>
    <w:p w14:paraId="286DAB07">
      <w:pPr>
        <w:pStyle w:val="3"/>
        <w:keepNext w:val="0"/>
        <w:keepLines w:val="0"/>
        <w:pageBreakBefore w:val="0"/>
        <w:widowControl w:val="0"/>
        <w:numPr>
          <w:ilvl w:val="0"/>
          <w:numId w:val="9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560"/>
        <w:textAlignment w:val="auto"/>
        <w:rPr>
          <w:rFonts w:hint="eastAsia"/>
        </w:rPr>
      </w:pPr>
      <w:bookmarkStart w:id="40" w:name="_Toc29665"/>
      <w:bookmarkStart w:id="41" w:name="_Toc17555"/>
      <w:r>
        <w:rPr>
          <w:rFonts w:hint="eastAsia"/>
        </w:rPr>
        <w:t>其他参考资料</w:t>
      </w:r>
      <w:bookmarkEnd w:id="40"/>
      <w:bookmarkEnd w:id="41"/>
    </w:p>
    <w:p w14:paraId="1B62318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56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0"/>
          <w:szCs w:val="30"/>
          <w:lang w:val="en-US" w:eastAsia="zh-CN" w:bidi="zh-TW"/>
        </w:rPr>
      </w:pPr>
      <w:bookmarkStart w:id="42" w:name="_Toc27934"/>
      <w:bookmarkStart w:id="43" w:name="_Toc21776"/>
      <w:r>
        <w:rPr>
          <w:rFonts w:hint="eastAsia" w:ascii="方正仿宋_GB2312" w:hAnsi="方正仿宋_GB2312" w:eastAsia="方正仿宋_GB2312" w:cs="方正仿宋_GB2312"/>
          <w:b w:val="0"/>
          <w:bCs w:val="0"/>
          <w:kern w:val="2"/>
          <w:sz w:val="30"/>
          <w:szCs w:val="30"/>
          <w:lang w:val="en-US" w:eastAsia="zh-CN" w:bidi="ar-SA"/>
        </w:rPr>
        <w:t>《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0"/>
          <w:szCs w:val="30"/>
          <w:lang w:val="en-US" w:eastAsia="zh-CN" w:bidi="zh-TW"/>
        </w:rPr>
        <w:t>智能财税实务（1+X证书配套教材）》</w:t>
      </w:r>
    </w:p>
    <w:p w14:paraId="5E86D82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56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0"/>
          <w:szCs w:val="30"/>
          <w:lang w:val="en-US" w:eastAsia="zh-CN" w:bidi="zh-TW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0"/>
          <w:szCs w:val="30"/>
          <w:lang w:val="en-US" w:eastAsia="zh-CN" w:bidi="zh-TW"/>
        </w:rPr>
        <w:t>《企业数据资源会计处理暂行规定》</w:t>
      </w:r>
    </w:p>
    <w:p w14:paraId="36A1EE2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56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0"/>
          <w:szCs w:val="30"/>
          <w:lang w:val="en-US" w:eastAsia="zh-CN" w:bidi="zh-TW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0"/>
          <w:szCs w:val="30"/>
          <w:lang w:val="en-US" w:eastAsia="zh-CN" w:bidi="zh-TW"/>
        </w:rPr>
        <w:t>《数据安全法解读与财务应用》</w:t>
      </w:r>
    </w:p>
    <w:p w14:paraId="1DD1F9F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560"/>
        <w:textAlignment w:val="auto"/>
      </w:pPr>
      <w:r>
        <w:rPr>
          <w:rFonts w:hint="eastAsia"/>
        </w:rPr>
        <w:t>（三）实训条件</w:t>
      </w:r>
      <w:bookmarkEnd w:id="42"/>
      <w:bookmarkEnd w:id="43"/>
    </w:p>
    <w:p w14:paraId="4A7CC2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/>
        <w:textAlignment w:val="auto"/>
        <w:rPr>
          <w:rFonts w:hint="default"/>
          <w:lang w:val="en-US"/>
        </w:rPr>
      </w:pPr>
      <w:r>
        <w:rPr>
          <w:rFonts w:hint="eastAsia"/>
        </w:rPr>
        <w:t>1.硬件设施：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0"/>
          <w:szCs w:val="30"/>
          <w:lang w:val="zh-TW" w:eastAsia="zh-CN" w:bidi="zh-TW"/>
        </w:rPr>
        <w:t>专业教室配备智慧黑板、多媒体计算机、投影设备、音响设备，互联网接入或Wi-Fi环境，并实施网络安全防护措施，安装应急照明装置并保持良好状态，符合紧急疏散要求，标志明显，保持逃生通道畅通无阻。专业校内实训基地含智能财税虚拟仿真实训中心、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0"/>
          <w:szCs w:val="30"/>
          <w:lang w:val="en-US" w:eastAsia="zh-CN" w:bidi="zh-TW"/>
        </w:rPr>
        <w:t>大数据与会计实训室、商务数据分析中心、ERP沙盘实训模拟实训室、用友/金蝶财务云共享实训中心，校外实训基地为贵州爱信诺航天信息有限公司。</w:t>
      </w:r>
    </w:p>
    <w:p w14:paraId="310D7C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/>
        <w:textAlignment w:val="auto"/>
        <w:rPr>
          <w:rFonts w:hint="default" w:eastAsia="仿宋_GB2312"/>
          <w:lang w:val="en-US" w:eastAsia="zh-CN"/>
        </w:rPr>
      </w:pPr>
      <w:r>
        <w:rPr>
          <w:rFonts w:hint="eastAsia"/>
        </w:rPr>
        <w:t>2.软件设施：</w:t>
      </w:r>
      <w:r>
        <w:rPr>
          <w:rFonts w:hint="eastAsia"/>
          <w:lang w:val="en-US" w:eastAsia="zh-CN"/>
        </w:rPr>
        <w:t>Excel软件、Python（Anaconda）、用友U9 Cloud（智能资金预测系统）、用友RPA（财务机器人）、金蝶K/3 WISE（财务云平台）等。</w:t>
      </w:r>
    </w:p>
    <w:p w14:paraId="1B9E2C75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560"/>
        <w:textAlignment w:val="auto"/>
        <w:rPr>
          <w:rFonts w:hint="eastAsia"/>
        </w:rPr>
      </w:pPr>
      <w:bookmarkStart w:id="44" w:name="_Toc29888"/>
      <w:bookmarkStart w:id="45" w:name="_Toc7079"/>
      <w:r>
        <w:rPr>
          <w:rFonts w:hint="eastAsia"/>
        </w:rPr>
        <w:t>（四）信息化教学资源</w:t>
      </w:r>
      <w:bookmarkEnd w:id="44"/>
      <w:bookmarkEnd w:id="45"/>
    </w:p>
    <w:p w14:paraId="0999A8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center"/>
        <w:textAlignment w:val="auto"/>
        <w:rPr>
          <w:rFonts w:hint="default" w:eastAsia="仿宋_GB2312"/>
          <w:lang w:val="en-US" w:eastAsia="zh-CN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</w:t>
      </w:r>
      <w:r>
        <w:rPr>
          <w:rFonts w:hint="eastAsia" w:ascii="仿宋_GB2312" w:hAnsi="仿宋_GB2312" w:cs="仿宋_GB2312"/>
          <w:b/>
          <w:bCs/>
          <w:sz w:val="24"/>
          <w:szCs w:val="21"/>
          <w:lang w:val="en-US" w:eastAsia="zh-CN"/>
        </w:rPr>
        <w:t>5</w:t>
      </w:r>
      <w:r>
        <w:rPr>
          <w:rFonts w:hint="eastAsia" w:ascii="仿宋_GB2312" w:hAnsi="仿宋_GB2312" w:cs="仿宋_GB2312"/>
          <w:b/>
          <w:bCs/>
          <w:sz w:val="24"/>
          <w:szCs w:val="21"/>
        </w:rPr>
        <w:t xml:space="preserve">. </w:t>
      </w:r>
      <w:r>
        <w:rPr>
          <w:rFonts w:hint="eastAsia" w:ascii="仿宋_GB2312" w:hAnsi="仿宋_GB2312" w:cs="仿宋_GB2312"/>
          <w:b/>
          <w:bCs/>
          <w:sz w:val="24"/>
          <w:szCs w:val="21"/>
          <w:lang w:val="en-US" w:eastAsia="zh-CN"/>
        </w:rPr>
        <w:t>信息化教学资源表</w:t>
      </w:r>
    </w:p>
    <w:tbl>
      <w:tblPr>
        <w:tblStyle w:val="15"/>
        <w:tblpPr w:leftFromText="180" w:rightFromText="180" w:vertAnchor="text" w:horzAnchor="page" w:tblpX="1399" w:tblpY="225"/>
        <w:tblOverlap w:val="never"/>
        <w:tblW w:w="953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1"/>
        <w:gridCol w:w="2184"/>
        <w:gridCol w:w="6550"/>
      </w:tblGrid>
      <w:tr w14:paraId="539C02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atLeast"/>
        </w:trPr>
        <w:tc>
          <w:tcPr>
            <w:tcW w:w="801" w:type="dxa"/>
            <w:vAlign w:val="center"/>
          </w:tcPr>
          <w:p w14:paraId="720D19C2">
            <w:pPr>
              <w:pStyle w:val="3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lang w:val="en-US" w:eastAsia="zh-CN" w:bidi="ar-SA"/>
              </w:rPr>
              <w:t>序号</w:t>
            </w:r>
          </w:p>
        </w:tc>
        <w:tc>
          <w:tcPr>
            <w:tcW w:w="2184" w:type="dxa"/>
            <w:vAlign w:val="center"/>
          </w:tcPr>
          <w:p w14:paraId="334F9C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ind w:left="0" w:leftChars="0"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数字化资源名称</w:t>
            </w:r>
          </w:p>
        </w:tc>
        <w:tc>
          <w:tcPr>
            <w:tcW w:w="6550" w:type="dxa"/>
            <w:vAlign w:val="center"/>
          </w:tcPr>
          <w:p w14:paraId="471647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数字化资源网址</w:t>
            </w:r>
          </w:p>
        </w:tc>
      </w:tr>
      <w:tr w14:paraId="686A25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2" w:hRule="atLeast"/>
        </w:trPr>
        <w:tc>
          <w:tcPr>
            <w:tcW w:w="801" w:type="dxa"/>
            <w:vAlign w:val="center"/>
          </w:tcPr>
          <w:p w14:paraId="18855466">
            <w:pPr>
              <w:pStyle w:val="3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184" w:type="dxa"/>
            <w:vAlign w:val="center"/>
          </w:tcPr>
          <w:p w14:paraId="3FD356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ind w:left="0" w:leftChars="0" w:firstLine="0" w:firstLineChars="0"/>
              <w:jc w:val="both"/>
              <w:textAlignment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会计基础</w:t>
            </w:r>
          </w:p>
        </w:tc>
        <w:tc>
          <w:tcPr>
            <w:tcW w:w="6550" w:type="dxa"/>
            <w:vAlign w:val="center"/>
          </w:tcPr>
          <w:p w14:paraId="706799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ind w:left="0" w:leftChars="0" w:firstLine="0" w:firstLineChars="0"/>
              <w:jc w:val="both"/>
              <w:textAlignment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https://www.icourse163.org/course/HLJSTGC-1460380162?from=searchPage&amp;outVendor=zw_mooc_pcssjg_</w:t>
            </w:r>
          </w:p>
        </w:tc>
      </w:tr>
      <w:tr w14:paraId="5D1925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9" w:hRule="atLeast"/>
        </w:trPr>
        <w:tc>
          <w:tcPr>
            <w:tcW w:w="801" w:type="dxa"/>
            <w:vAlign w:val="center"/>
          </w:tcPr>
          <w:p w14:paraId="388BBDB8">
            <w:pPr>
              <w:pStyle w:val="3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184" w:type="dxa"/>
            <w:vAlign w:val="center"/>
          </w:tcPr>
          <w:p w14:paraId="2CAD96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ind w:left="0" w:leftChars="0" w:firstLine="0" w:firstLineChars="0"/>
              <w:jc w:val="both"/>
              <w:textAlignment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经济法基础</w:t>
            </w:r>
          </w:p>
        </w:tc>
        <w:tc>
          <w:tcPr>
            <w:tcW w:w="6550" w:type="dxa"/>
            <w:vAlign w:val="center"/>
          </w:tcPr>
          <w:p w14:paraId="630B8D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ind w:left="0" w:leftChars="0" w:firstLine="0" w:firstLineChars="0"/>
              <w:jc w:val="both"/>
              <w:textAlignment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https://www.icourse163.org/course/SCC-1449643167?from=searchPage&amp;outVendor=zw_mooc_pcssjg_</w:t>
            </w:r>
          </w:p>
        </w:tc>
      </w:tr>
      <w:tr w14:paraId="165F55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2" w:hRule="atLeast"/>
        </w:trPr>
        <w:tc>
          <w:tcPr>
            <w:tcW w:w="801" w:type="dxa"/>
            <w:vAlign w:val="center"/>
          </w:tcPr>
          <w:p w14:paraId="191490C7">
            <w:pPr>
              <w:pStyle w:val="3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184" w:type="dxa"/>
            <w:vAlign w:val="center"/>
          </w:tcPr>
          <w:p w14:paraId="5BF5FC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ind w:left="0" w:leftChars="0" w:firstLine="0" w:firstLineChars="0"/>
              <w:jc w:val="both"/>
              <w:textAlignment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4"/>
                <w:szCs w:val="24"/>
              </w:rPr>
              <w:t>税收理论及实务</w:t>
            </w:r>
          </w:p>
        </w:tc>
        <w:tc>
          <w:tcPr>
            <w:tcW w:w="6550" w:type="dxa"/>
            <w:vAlign w:val="center"/>
          </w:tcPr>
          <w:p w14:paraId="6AD9B8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ind w:left="0" w:leftChars="0" w:firstLine="0" w:firstLineChars="0"/>
              <w:jc w:val="both"/>
              <w:textAlignment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https://www.icourse163.org/course/HAUEEDU-1462115175?from=searchPage&amp;outVendor=zw_mooc_pcssjg_</w:t>
            </w:r>
          </w:p>
        </w:tc>
      </w:tr>
      <w:tr w14:paraId="5AAA0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4" w:hRule="atLeast"/>
        </w:trPr>
        <w:tc>
          <w:tcPr>
            <w:tcW w:w="801" w:type="dxa"/>
            <w:vAlign w:val="center"/>
          </w:tcPr>
          <w:p w14:paraId="7DB7794F">
            <w:pPr>
              <w:pStyle w:val="3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184" w:type="dxa"/>
            <w:vAlign w:val="center"/>
          </w:tcPr>
          <w:p w14:paraId="0F7DDD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ind w:left="0" w:leftChars="0" w:firstLine="0" w:firstLineChars="0"/>
              <w:jc w:val="both"/>
              <w:textAlignment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4"/>
                <w:szCs w:val="24"/>
              </w:rPr>
              <w:t>企业财务管理</w:t>
            </w:r>
          </w:p>
        </w:tc>
        <w:tc>
          <w:tcPr>
            <w:tcW w:w="6550" w:type="dxa"/>
            <w:vAlign w:val="center"/>
          </w:tcPr>
          <w:p w14:paraId="7D35C4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ind w:left="0" w:leftChars="0" w:firstLine="0" w:firstLineChars="0"/>
              <w:jc w:val="both"/>
              <w:textAlignment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https://www.icourse163.org/course/NBCC-1464116168?from=searchPage&amp;outVendor=zw_mooc_pcssjg_</w:t>
            </w:r>
          </w:p>
        </w:tc>
      </w:tr>
      <w:tr w14:paraId="108777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4" w:hRule="atLeast"/>
        </w:trPr>
        <w:tc>
          <w:tcPr>
            <w:tcW w:w="801" w:type="dxa"/>
            <w:vAlign w:val="center"/>
          </w:tcPr>
          <w:p w14:paraId="6508B951">
            <w:pPr>
              <w:pStyle w:val="3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184" w:type="dxa"/>
            <w:vAlign w:val="center"/>
          </w:tcPr>
          <w:p w14:paraId="250AD8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ind w:left="0" w:leftChars="0" w:firstLine="0" w:firstLineChars="0"/>
              <w:jc w:val="both"/>
              <w:textAlignment w:val="center"/>
              <w:rPr>
                <w:rFonts w:hint="default" w:ascii="方正仿宋_GB2312" w:hAnsi="方正仿宋_GB2312" w:eastAsia="方正仿宋_GB2312" w:cs="方正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4"/>
                <w:szCs w:val="24"/>
                <w:lang w:val="en-US" w:eastAsia="zh-CN"/>
              </w:rPr>
              <w:t>财务大数据分析</w:t>
            </w:r>
          </w:p>
        </w:tc>
        <w:tc>
          <w:tcPr>
            <w:tcW w:w="6550" w:type="dxa"/>
            <w:vAlign w:val="center"/>
          </w:tcPr>
          <w:p w14:paraId="75EB8C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ind w:left="0" w:leftChars="0" w:firstLine="0" w:firstLineChars="0"/>
              <w:jc w:val="both"/>
              <w:textAlignment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https://www.icourse163.org/course/BIT-1471616173?from=searchPage&amp;outVendor=zw_mooc_pcssjg_</w:t>
            </w:r>
          </w:p>
        </w:tc>
      </w:tr>
      <w:tr w14:paraId="0590D6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4" w:hRule="atLeast"/>
        </w:trPr>
        <w:tc>
          <w:tcPr>
            <w:tcW w:w="801" w:type="dxa"/>
            <w:vAlign w:val="center"/>
          </w:tcPr>
          <w:p w14:paraId="548A1D21">
            <w:pPr>
              <w:pStyle w:val="3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z w:val="24"/>
                <w:szCs w:val="24"/>
                <w:lang w:val="en-US" w:eastAsia="zh-CN"/>
              </w:rPr>
            </w:pPr>
            <w:bookmarkStart w:id="46" w:name="_Toc12227"/>
            <w:bookmarkStart w:id="47" w:name="_Toc6694"/>
            <w:bookmarkStart w:id="48" w:name="_Hlk90479468"/>
            <w:r>
              <w:rPr>
                <w:rFonts w:hint="eastAsia" w:ascii="方正仿宋_GB2312" w:hAnsi="方正仿宋_GB2312" w:eastAsia="方正仿宋_GB2312" w:cs="方正仿宋_GB2312"/>
                <w:color w:val="auto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2184" w:type="dxa"/>
            <w:vAlign w:val="center"/>
          </w:tcPr>
          <w:p w14:paraId="44BDF1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ind w:left="0" w:leftChars="0" w:firstLine="0" w:firstLineChars="0"/>
              <w:jc w:val="both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4"/>
                <w:szCs w:val="24"/>
                <w:lang w:val="en-US" w:eastAsia="zh-CN"/>
              </w:rPr>
              <w:t>财务机器人（RPA）应用教程</w:t>
            </w:r>
          </w:p>
        </w:tc>
        <w:tc>
          <w:tcPr>
            <w:tcW w:w="6550" w:type="dxa"/>
            <w:vAlign w:val="center"/>
          </w:tcPr>
          <w:p w14:paraId="1FA403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ind w:left="0" w:leftChars="0" w:firstLine="0" w:firstLineChars="0"/>
              <w:jc w:val="both"/>
              <w:textAlignment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https://www.icourse163.org/course/SUIBE-1455026171?from=searchPage&amp;outVendor=zw_mooc_pcssjg_</w:t>
            </w:r>
          </w:p>
        </w:tc>
      </w:tr>
      <w:tr w14:paraId="2AD9B7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4" w:hRule="atLeast"/>
        </w:trPr>
        <w:tc>
          <w:tcPr>
            <w:tcW w:w="801" w:type="dxa"/>
            <w:vAlign w:val="center"/>
          </w:tcPr>
          <w:p w14:paraId="73B1C2B7">
            <w:pPr>
              <w:pStyle w:val="3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184" w:type="dxa"/>
            <w:vAlign w:val="center"/>
          </w:tcPr>
          <w:p w14:paraId="40448F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ind w:left="0" w:leftChars="0" w:firstLine="0" w:firstLineChars="0"/>
              <w:jc w:val="both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4"/>
                <w:szCs w:val="24"/>
                <w:lang w:val="en-US" w:eastAsia="zh-CN"/>
              </w:rPr>
              <w:t>Python 财务数据分析</w:t>
            </w:r>
          </w:p>
        </w:tc>
        <w:tc>
          <w:tcPr>
            <w:tcW w:w="6550" w:type="dxa"/>
            <w:vAlign w:val="center"/>
          </w:tcPr>
          <w:p w14:paraId="0F9CA3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ind w:left="0" w:leftChars="0" w:firstLine="0" w:firstLineChars="0"/>
              <w:jc w:val="both"/>
              <w:textAlignment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https://www.icourse163.org/course/BIT-1001870002</w:t>
            </w:r>
          </w:p>
        </w:tc>
      </w:tr>
    </w:tbl>
    <w:p w14:paraId="043D6722">
      <w:pPr>
        <w:pStyle w:val="2"/>
        <w:keepNext w:val="0"/>
        <w:keepLines w:val="0"/>
        <w:pageBreakBefore w:val="0"/>
        <w:widowControl w:val="0"/>
        <w:numPr>
          <w:ilvl w:val="0"/>
          <w:numId w:val="1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53"/>
        <w:textAlignment w:val="auto"/>
        <w:rPr>
          <w:rFonts w:hint="eastAsia"/>
        </w:rPr>
      </w:pPr>
      <w:r>
        <w:rPr>
          <w:rFonts w:hint="eastAsia"/>
        </w:rPr>
        <w:t>师资要求</w:t>
      </w:r>
      <w:bookmarkEnd w:id="46"/>
      <w:bookmarkEnd w:id="47"/>
    </w:p>
    <w:p w14:paraId="6A619F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/>
        <w:textAlignment w:val="auto"/>
        <w:rPr>
          <w:rFonts w:hint="eastAsia" w:ascii="方正仿宋_GB2312" w:hAnsi="方正仿宋_GB2312" w:eastAsia="方正仿宋_GB2312" w:cs="方正仿宋_GB2312"/>
          <w:color w:val="auto"/>
          <w:kern w:val="2"/>
          <w:sz w:val="30"/>
          <w:szCs w:val="30"/>
          <w:lang w:val="zh-TW" w:eastAsia="zh-CN" w:bidi="zh-TW"/>
        </w:rPr>
      </w:pPr>
      <w:r>
        <w:rPr>
          <w:rFonts w:hint="eastAsia" w:ascii="方正仿宋_GB2312" w:hAnsi="方正仿宋_GB2312" w:eastAsia="方正仿宋_GB2312" w:cs="方正仿宋_GB2312"/>
          <w:color w:val="auto"/>
          <w:kern w:val="2"/>
          <w:sz w:val="30"/>
          <w:szCs w:val="30"/>
          <w:lang w:val="zh-TW" w:eastAsia="zh-CN" w:bidi="zh-TW"/>
        </w:rPr>
        <w:t>大数据与会计专业教师具有本专业本科或研究生及以上学历，并接受过职业教育教学方法论的培训，具有独立开发职业课程的能力。目前，经济管理系专任教师32名、兼职教师5名；其中，“双师型”教师6人（讲师以上教师系列职称，并具备中级以上专业技术职称或职业资格或两年以上企业经历：李德建、李绪红、陶毅、杨柏玲、袁龙、蔡姣姣）。</w:t>
      </w:r>
    </w:p>
    <w:p w14:paraId="052F58B0">
      <w:pPr>
        <w:pStyle w:val="2"/>
        <w:keepNext w:val="0"/>
        <w:keepLines w:val="0"/>
        <w:pageBreakBefore w:val="0"/>
        <w:widowControl w:val="0"/>
        <w:numPr>
          <w:ilvl w:val="0"/>
          <w:numId w:val="1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firstLine="643" w:firstLineChars="200"/>
        <w:textAlignment w:val="auto"/>
        <w:rPr>
          <w:rFonts w:hint="eastAsia"/>
        </w:rPr>
      </w:pPr>
      <w:bookmarkStart w:id="49" w:name="_Toc502337269"/>
      <w:bookmarkStart w:id="50" w:name="_Toc3001"/>
      <w:bookmarkStart w:id="51" w:name="_Toc29184"/>
      <w:r>
        <w:rPr>
          <w:rFonts w:hint="eastAsia"/>
        </w:rPr>
        <w:t>其它说明</w:t>
      </w:r>
      <w:bookmarkEnd w:id="49"/>
      <w:bookmarkEnd w:id="50"/>
      <w:bookmarkEnd w:id="51"/>
    </w:p>
    <w:p w14:paraId="3D3F9F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/>
        <w:textAlignment w:val="auto"/>
        <w:rPr>
          <w:rFonts w:hint="eastAsia" w:eastAsia="仿宋_GB2312"/>
          <w:lang w:val="en-US" w:eastAsia="zh-CN"/>
        </w:rPr>
      </w:pPr>
      <w:r>
        <w:rPr>
          <w:rFonts w:hint="eastAsia"/>
          <w:lang w:val="en-US" w:eastAsia="zh-CN"/>
        </w:rPr>
        <w:t>无</w:t>
      </w:r>
    </w:p>
    <w:bookmarkEnd w:id="3"/>
    <w:bookmarkEnd w:id="4"/>
    <w:bookmarkEnd w:id="5"/>
    <w:bookmarkEnd w:id="48"/>
    <w:p w14:paraId="012198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/>
        <w:textAlignment w:val="auto"/>
        <w:rPr>
          <w:rFonts w:ascii="仿宋_GB2312" w:hAnsi="宋体" w:cs="宋体"/>
          <w:kern w:val="0"/>
          <w:szCs w:val="28"/>
        </w:rPr>
      </w:pPr>
    </w:p>
    <w:sectPr>
      <w:headerReference r:id="rId12" w:type="default"/>
      <w:footerReference r:id="rId13" w:type="default"/>
      <w:pgSz w:w="11906" w:h="16838"/>
      <w:pgMar w:top="1440" w:right="1800" w:bottom="1440" w:left="1800" w:header="851" w:footer="567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05AC0CD-D3FE-407E-971D-E6AE210E8CB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B0604020202020204"/>
    <w:charset w:val="00"/>
    <w:family w:val="auto"/>
    <w:pitch w:val="default"/>
    <w:sig w:usb0="00000000" w:usb1="00000000" w:usb2="00000000" w:usb3="00000000" w:csb0="00000000" w:csb1="00000000"/>
    <w:embedRegular r:id="rId2" w:fontKey="{363B6971-7EBF-4036-A7E5-9734C1284E8B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88C1EAF6-CC0D-4E59-A56A-60ED83DABD24}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方正流行体简体">
    <w:altName w:val="微软雅黑"/>
    <w:panose1 w:val="020B0604020202020204"/>
    <w:charset w:val="86"/>
    <w:family w:val="script"/>
    <w:pitch w:val="default"/>
    <w:sig w:usb0="00000000" w:usb1="00000000" w:usb2="00000000" w:usb3="00000000" w:csb0="00040000" w:csb1="00000000"/>
    <w:embedRegular r:id="rId4" w:fontKey="{11EB19BF-E0DA-41D6-AD22-BFA469F406B5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  <w:embedRegular r:id="rId5" w:fontKey="{4FF3801B-36E9-4E7B-8343-E6F7993F039F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14D64D8B-5746-4CD0-9765-8436D4AEAC39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7" w:fontKey="{04BF5FED-B8BF-45D7-9F64-47B0EC54FC26}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8998C9">
    <w:pPr>
      <w:pStyle w:val="9"/>
      <w:ind w:firstLine="360"/>
      <w:jc w:val="center"/>
    </w:pPr>
    <w:r>
      <w:rPr>
        <w:lang w:val="zh-CN"/>
      </w:rPr>
      <w:t xml:space="preserve"> </w:t>
    </w:r>
  </w:p>
  <w:p w14:paraId="72161886">
    <w:pPr>
      <w:pStyle w:val="9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687FC3">
    <w:pPr>
      <w:pStyle w:val="9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219966">
    <w:pPr>
      <w:pStyle w:val="9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0F653A">
    <w:pPr>
      <w:pStyle w:val="9"/>
      <w:ind w:firstLine="360"/>
      <w:jc w:val="center"/>
    </w:pPr>
    <w:r>
      <w:rPr>
        <w:lang w:val="zh-CN"/>
      </w:rPr>
      <w:t xml:space="preserve"> </w:t>
    </w:r>
  </w:p>
  <w:p w14:paraId="696C370F">
    <w:pPr>
      <w:pStyle w:val="9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902F79">
    <w:pPr>
      <w:pStyle w:val="9"/>
      <w:ind w:firstLine="360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708F0E">
                          <w:pPr>
                            <w:pStyle w:val="9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B708F0E">
                    <w:pPr>
                      <w:pStyle w:val="9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lang w:val="zh-CN"/>
      </w:rPr>
      <w:t xml:space="preserve"> </w:t>
    </w:r>
  </w:p>
  <w:p w14:paraId="560E0E33">
    <w:pPr>
      <w:pStyle w:val="9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7A6263">
    <w:pPr>
      <w:pStyle w:val="10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2B75D5">
    <w:pPr>
      <w:pStyle w:val="10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434383">
    <w:pPr>
      <w:pStyle w:val="10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B2F03E">
    <w:pPr>
      <w:pStyle w:val="10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  <w:r>
      <w:rPr>
        <w:rFonts w:hint="eastAsia" w:eastAsia="方正流行体简体"/>
      </w:rPr>
      <w:drawing>
        <wp:inline distT="0" distB="0" distL="114300" distR="114300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1FD6EE9"/>
    <w:multiLevelType w:val="singleLevel"/>
    <w:tmpl w:val="81FD6EE9"/>
    <w:lvl w:ilvl="0" w:tentative="0">
      <w:start w:val="1"/>
      <w:numFmt w:val="decimal"/>
      <w:lvlText w:val="%1."/>
      <w:lvlJc w:val="left"/>
      <w:pPr>
        <w:tabs>
          <w:tab w:val="left" w:pos="0"/>
        </w:tabs>
      </w:pPr>
    </w:lvl>
  </w:abstractNum>
  <w:abstractNum w:abstractNumId="1">
    <w:nsid w:val="9C46F812"/>
    <w:multiLevelType w:val="singleLevel"/>
    <w:tmpl w:val="9C46F81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C269277B"/>
    <w:multiLevelType w:val="singleLevel"/>
    <w:tmpl w:val="C269277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D7E046F9"/>
    <w:multiLevelType w:val="singleLevel"/>
    <w:tmpl w:val="D7E046F9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03F4178B"/>
    <w:multiLevelType w:val="singleLevel"/>
    <w:tmpl w:val="03F4178B"/>
    <w:lvl w:ilvl="0" w:tentative="0">
      <w:start w:val="1"/>
      <w:numFmt w:val="decimal"/>
      <w:lvlText w:val="%1."/>
      <w:lvlJc w:val="left"/>
      <w:pPr>
        <w:tabs>
          <w:tab w:val="left" w:pos="0"/>
        </w:tabs>
      </w:pPr>
    </w:lvl>
  </w:abstractNum>
  <w:abstractNum w:abstractNumId="5">
    <w:nsid w:val="20067AAF"/>
    <w:multiLevelType w:val="singleLevel"/>
    <w:tmpl w:val="20067A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6">
    <w:nsid w:val="2A23BC07"/>
    <w:multiLevelType w:val="singleLevel"/>
    <w:tmpl w:val="2A23BC0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7">
    <w:nsid w:val="51A5FD94"/>
    <w:multiLevelType w:val="singleLevel"/>
    <w:tmpl w:val="51A5FD94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8">
    <w:nsid w:val="61F686CC"/>
    <w:multiLevelType w:val="singleLevel"/>
    <w:tmpl w:val="61F686CC"/>
    <w:lvl w:ilvl="0" w:tentative="0">
      <w:start w:val="9"/>
      <w:numFmt w:val="chineseCounting"/>
      <w:suff w:val="nothing"/>
      <w:lvlText w:val="%1、"/>
      <w:lvlJc w:val="left"/>
      <w:rPr>
        <w:rFonts w:hint="eastAsia"/>
      </w:rPr>
    </w:lvl>
  </w:abstractNum>
  <w:abstractNum w:abstractNumId="9">
    <w:nsid w:val="7335FC5E"/>
    <w:multiLevelType w:val="singleLevel"/>
    <w:tmpl w:val="7335FC5E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9"/>
  </w:num>
  <w:num w:numId="5">
    <w:abstractNumId w:val="2"/>
  </w:num>
  <w:num w:numId="6">
    <w:abstractNumId w:val="0"/>
  </w:num>
  <w:num w:numId="7">
    <w:abstractNumId w:val="4"/>
  </w:num>
  <w:num w:numId="8">
    <w:abstractNumId w:val="3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wNTM5NzYwMDRjMzkwZTVkZjY2ODkwMGIxNGU0OTUifQ=="/>
    <w:docVar w:name="KSO_WPS_MARK_KEY" w:val="cfb533a1-ba9d-4e48-bd16-934123714dd7"/>
  </w:docVars>
  <w:rsids>
    <w:rsidRoot w:val="2D276405"/>
    <w:rsid w:val="00010287"/>
    <w:rsid w:val="000158C8"/>
    <w:rsid w:val="00037198"/>
    <w:rsid w:val="000375A8"/>
    <w:rsid w:val="0007188A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46A3A"/>
    <w:rsid w:val="00175FB5"/>
    <w:rsid w:val="00180B79"/>
    <w:rsid w:val="001B6CE5"/>
    <w:rsid w:val="001B77EB"/>
    <w:rsid w:val="001C2D0D"/>
    <w:rsid w:val="001C7F18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C2D0B"/>
    <w:rsid w:val="004E3CB8"/>
    <w:rsid w:val="00525082"/>
    <w:rsid w:val="0053300E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A6985"/>
    <w:rsid w:val="006D4EB4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42DBC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E5607"/>
    <w:rsid w:val="008E785F"/>
    <w:rsid w:val="008F2620"/>
    <w:rsid w:val="00913C39"/>
    <w:rsid w:val="00922E25"/>
    <w:rsid w:val="00924CCF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3044C"/>
    <w:rsid w:val="00B42037"/>
    <w:rsid w:val="00B5546F"/>
    <w:rsid w:val="00B702D3"/>
    <w:rsid w:val="00B774B1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645B"/>
    <w:rsid w:val="00D601BB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6536B"/>
    <w:rsid w:val="00E716AF"/>
    <w:rsid w:val="00E96458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7C40"/>
    <w:rsid w:val="00FA7642"/>
    <w:rsid w:val="00FC2753"/>
    <w:rsid w:val="00FC6B31"/>
    <w:rsid w:val="00FD0E2D"/>
    <w:rsid w:val="00FD7241"/>
    <w:rsid w:val="00FE1860"/>
    <w:rsid w:val="00FE6999"/>
    <w:rsid w:val="011D4067"/>
    <w:rsid w:val="02ED1BA1"/>
    <w:rsid w:val="039520F1"/>
    <w:rsid w:val="03EA43FF"/>
    <w:rsid w:val="04F36FCB"/>
    <w:rsid w:val="06264DD4"/>
    <w:rsid w:val="071F59E5"/>
    <w:rsid w:val="0B4B3EED"/>
    <w:rsid w:val="0FCC415C"/>
    <w:rsid w:val="102A1008"/>
    <w:rsid w:val="12C257D3"/>
    <w:rsid w:val="13C6123F"/>
    <w:rsid w:val="152B70E8"/>
    <w:rsid w:val="15D56A42"/>
    <w:rsid w:val="169325B8"/>
    <w:rsid w:val="172F601F"/>
    <w:rsid w:val="1761002E"/>
    <w:rsid w:val="17735D8C"/>
    <w:rsid w:val="18493218"/>
    <w:rsid w:val="18BA29FE"/>
    <w:rsid w:val="1E0C36DB"/>
    <w:rsid w:val="2392755E"/>
    <w:rsid w:val="273677B9"/>
    <w:rsid w:val="29790743"/>
    <w:rsid w:val="2D276405"/>
    <w:rsid w:val="2D4427A8"/>
    <w:rsid w:val="2E7B7787"/>
    <w:rsid w:val="2E9413D6"/>
    <w:rsid w:val="2F6A77B8"/>
    <w:rsid w:val="2FF97670"/>
    <w:rsid w:val="30611F0A"/>
    <w:rsid w:val="309A26F7"/>
    <w:rsid w:val="317D4E81"/>
    <w:rsid w:val="33670DA7"/>
    <w:rsid w:val="33BD324E"/>
    <w:rsid w:val="34710AAF"/>
    <w:rsid w:val="37555A58"/>
    <w:rsid w:val="38D169E8"/>
    <w:rsid w:val="3A9340B4"/>
    <w:rsid w:val="3DD96F86"/>
    <w:rsid w:val="3EBC5DDD"/>
    <w:rsid w:val="3ECF7E9E"/>
    <w:rsid w:val="3FF42CA8"/>
    <w:rsid w:val="44883AC1"/>
    <w:rsid w:val="44890655"/>
    <w:rsid w:val="47DB4379"/>
    <w:rsid w:val="489268FC"/>
    <w:rsid w:val="49564CEF"/>
    <w:rsid w:val="49D00F6E"/>
    <w:rsid w:val="4CCD5FB7"/>
    <w:rsid w:val="4E053309"/>
    <w:rsid w:val="4E6522DD"/>
    <w:rsid w:val="53596C0B"/>
    <w:rsid w:val="54A518C5"/>
    <w:rsid w:val="562A3B61"/>
    <w:rsid w:val="575F1A59"/>
    <w:rsid w:val="59B04FCC"/>
    <w:rsid w:val="5A502305"/>
    <w:rsid w:val="5A63129F"/>
    <w:rsid w:val="5ADE57B1"/>
    <w:rsid w:val="5BCF6EC1"/>
    <w:rsid w:val="5E8A4E8C"/>
    <w:rsid w:val="685B2491"/>
    <w:rsid w:val="694C5B6A"/>
    <w:rsid w:val="6C932E12"/>
    <w:rsid w:val="6D156B14"/>
    <w:rsid w:val="6D695A44"/>
    <w:rsid w:val="6E394AC8"/>
    <w:rsid w:val="6E537FEB"/>
    <w:rsid w:val="6E8A7606"/>
    <w:rsid w:val="70D22201"/>
    <w:rsid w:val="76AA6A38"/>
    <w:rsid w:val="79363CA6"/>
    <w:rsid w:val="7AA3575A"/>
    <w:rsid w:val="7BB35BD5"/>
    <w:rsid w:val="7C482314"/>
    <w:rsid w:val="7D7E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1160" w:firstLineChars="200"/>
      <w:jc w:val="both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0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21"/>
    <w:qFormat/>
    <w:uiPriority w:val="9"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4">
    <w:name w:val="heading 3"/>
    <w:basedOn w:val="1"/>
    <w:next w:val="1"/>
    <w:link w:val="22"/>
    <w:qFormat/>
    <w:uiPriority w:val="9"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5">
    <w:name w:val="heading 4"/>
    <w:basedOn w:val="1"/>
    <w:next w:val="1"/>
    <w:link w:val="23"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semiHidden/>
    <w:qFormat/>
    <w:uiPriority w:val="0"/>
    <w:rPr>
      <w:rFonts w:ascii="宋体" w:hAnsi="宋体" w:eastAsia="宋体" w:cs="宋体"/>
      <w:sz w:val="24"/>
      <w:lang w:eastAsia="en-US"/>
    </w:rPr>
  </w:style>
  <w:style w:type="paragraph" w:styleId="7">
    <w:name w:val="toc 3"/>
    <w:basedOn w:val="1"/>
    <w:next w:val="1"/>
    <w:qFormat/>
    <w:uiPriority w:val="39"/>
    <w:pPr>
      <w:ind w:left="840" w:leftChars="400"/>
    </w:pPr>
  </w:style>
  <w:style w:type="paragraph" w:styleId="8">
    <w:name w:val="Balloon Text"/>
    <w:basedOn w:val="1"/>
    <w:link w:val="19"/>
    <w:qFormat/>
    <w:uiPriority w:val="0"/>
    <w:rPr>
      <w:sz w:val="18"/>
      <w:szCs w:val="18"/>
    </w:rPr>
  </w:style>
  <w:style w:type="paragraph" w:styleId="9">
    <w:name w:val="footer"/>
    <w:basedOn w:val="1"/>
    <w:link w:val="3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3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1"/>
    <w:next w:val="1"/>
    <w:unhideWhenUsed/>
    <w:qFormat/>
    <w:uiPriority w:val="39"/>
    <w:pPr>
      <w:spacing w:before="120" w:after="120"/>
      <w:jc w:val="left"/>
    </w:pPr>
    <w:rPr>
      <w:b/>
      <w:bCs/>
      <w:caps/>
      <w:szCs w:val="20"/>
    </w:rPr>
  </w:style>
  <w:style w:type="paragraph" w:styleId="12">
    <w:name w:val="table of figures"/>
    <w:basedOn w:val="1"/>
    <w:next w:val="1"/>
    <w:qFormat/>
    <w:uiPriority w:val="0"/>
    <w:pPr>
      <w:ind w:left="200" w:leftChars="200" w:hanging="200" w:hangingChars="200"/>
    </w:pPr>
  </w:style>
  <w:style w:type="paragraph" w:styleId="13">
    <w:name w:val="toc 2"/>
    <w:basedOn w:val="1"/>
    <w:next w:val="1"/>
    <w:unhideWhenUsed/>
    <w:qFormat/>
    <w:uiPriority w:val="39"/>
    <w:pPr>
      <w:ind w:left="210"/>
      <w:jc w:val="left"/>
    </w:pPr>
    <w:rPr>
      <w:smallCaps/>
      <w:sz w:val="24"/>
      <w:szCs w:val="20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Strong"/>
    <w:basedOn w:val="16"/>
    <w:qFormat/>
    <w:uiPriority w:val="0"/>
    <w:rPr>
      <w:b/>
    </w:rPr>
  </w:style>
  <w:style w:type="character" w:styleId="18">
    <w:name w:val="Hyperlink"/>
    <w:unhideWhenUsed/>
    <w:qFormat/>
    <w:uiPriority w:val="99"/>
    <w:rPr>
      <w:color w:val="0000FF"/>
      <w:u w:val="single"/>
    </w:rPr>
  </w:style>
  <w:style w:type="character" w:customStyle="1" w:styleId="19">
    <w:name w:val="批注框文本 字符"/>
    <w:basedOn w:val="16"/>
    <w:link w:val="8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20">
    <w:name w:val="标题 1 字符"/>
    <w:basedOn w:val="16"/>
    <w:link w:val="2"/>
    <w:qFormat/>
    <w:uiPriority w:val="0"/>
    <w:rPr>
      <w:rFonts w:ascii="Calibri" w:hAnsi="Calibri" w:eastAsia="黑体"/>
      <w:b/>
      <w:bCs/>
      <w:kern w:val="44"/>
      <w:sz w:val="32"/>
      <w:szCs w:val="44"/>
    </w:rPr>
  </w:style>
  <w:style w:type="character" w:customStyle="1" w:styleId="21">
    <w:name w:val="标题 2 字符"/>
    <w:basedOn w:val="16"/>
    <w:link w:val="3"/>
    <w:qFormat/>
    <w:uiPriority w:val="9"/>
    <w:rPr>
      <w:rFonts w:ascii="Times New Roman" w:hAnsi="Times New Roman" w:eastAsia="仿宋_GB2312"/>
      <w:b/>
      <w:bCs/>
      <w:kern w:val="2"/>
      <w:sz w:val="28"/>
      <w:szCs w:val="32"/>
    </w:rPr>
  </w:style>
  <w:style w:type="character" w:customStyle="1" w:styleId="22">
    <w:name w:val="标题 3 字符"/>
    <w:basedOn w:val="16"/>
    <w:link w:val="4"/>
    <w:qFormat/>
    <w:uiPriority w:val="9"/>
    <w:rPr>
      <w:rFonts w:ascii="Calibri" w:hAnsi="Calibri" w:eastAsia="仿宋_GB2312"/>
      <w:bCs/>
      <w:kern w:val="2"/>
      <w:sz w:val="28"/>
      <w:szCs w:val="32"/>
    </w:rPr>
  </w:style>
  <w:style w:type="character" w:customStyle="1" w:styleId="23">
    <w:name w:val="标题 4 字符"/>
    <w:basedOn w:val="16"/>
    <w:link w:val="5"/>
    <w:qFormat/>
    <w:uiPriority w:val="9"/>
    <w:rPr>
      <w:rFonts w:ascii="Cambria" w:hAnsi="Cambria"/>
      <w:b/>
      <w:bCs/>
      <w:kern w:val="2"/>
      <w:sz w:val="28"/>
      <w:szCs w:val="28"/>
    </w:rPr>
  </w:style>
  <w:style w:type="paragraph" w:customStyle="1" w:styleId="24">
    <w:name w:val="TOC 标题1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6" w:themeColor="accent1" w:themeShade="BF"/>
      <w:kern w:val="0"/>
      <w:sz w:val="28"/>
      <w:szCs w:val="28"/>
    </w:rPr>
  </w:style>
  <w:style w:type="paragraph" w:customStyle="1" w:styleId="25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26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27">
    <w:name w:val="style41"/>
    <w:basedOn w:val="16"/>
    <w:qFormat/>
    <w:uiPriority w:val="0"/>
    <w:rPr>
      <w:sz w:val="18"/>
    </w:rPr>
  </w:style>
  <w:style w:type="paragraph" w:customStyle="1" w:styleId="28">
    <w:name w:val="msolistparagraph"/>
    <w:basedOn w:val="1"/>
    <w:qFormat/>
    <w:uiPriority w:val="0"/>
    <w:pPr>
      <w:ind w:firstLine="420"/>
    </w:pPr>
    <w:rPr>
      <w:rFonts w:ascii="Calibri" w:hAnsi="Calibri" w:eastAsia="宋体"/>
      <w:sz w:val="21"/>
    </w:rPr>
  </w:style>
  <w:style w:type="paragraph" w:customStyle="1" w:styleId="29">
    <w:name w:val="Table Paragraph"/>
    <w:basedOn w:val="1"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30">
    <w:name w:val="页脚 字符"/>
    <w:basedOn w:val="16"/>
    <w:link w:val="9"/>
    <w:qFormat/>
    <w:uiPriority w:val="99"/>
    <w:rPr>
      <w:rFonts w:eastAsia="仿宋_GB2312"/>
      <w:kern w:val="2"/>
      <w:sz w:val="18"/>
      <w:szCs w:val="18"/>
    </w:rPr>
  </w:style>
  <w:style w:type="character" w:customStyle="1" w:styleId="31">
    <w:name w:val="页眉 字符"/>
    <w:basedOn w:val="16"/>
    <w:link w:val="10"/>
    <w:qFormat/>
    <w:uiPriority w:val="99"/>
    <w:rPr>
      <w:rFonts w:eastAsia="仿宋_GB2312"/>
      <w:kern w:val="2"/>
      <w:sz w:val="18"/>
      <w:szCs w:val="18"/>
    </w:rPr>
  </w:style>
  <w:style w:type="paragraph" w:styleId="32">
    <w:name w:val="List Paragraph"/>
    <w:basedOn w:val="1"/>
    <w:qFormat/>
    <w:uiPriority w:val="99"/>
    <w:pPr>
      <w:ind w:firstLine="420"/>
    </w:pPr>
  </w:style>
  <w:style w:type="paragraph" w:customStyle="1" w:styleId="33">
    <w:name w:val="表格"/>
    <w:basedOn w:val="1"/>
    <w:qFormat/>
    <w:uiPriority w:val="0"/>
    <w:pPr>
      <w:adjustRightInd w:val="0"/>
      <w:snapToGrid w:val="0"/>
      <w:jc w:val="center"/>
    </w:pPr>
    <w:rPr>
      <w:rFonts w:hint="eastAsia" w:ascii="仿宋_GB2312" w:hAnsi="仿宋_GB2312" w:eastAsia="仿宋_GB2312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2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image" Target="media/image1.jpeg"/><Relationship Id="rId14" Type="http://schemas.openxmlformats.org/officeDocument/2006/relationships/theme" Target="theme/theme1.xml"/><Relationship Id="rId13" Type="http://schemas.openxmlformats.org/officeDocument/2006/relationships/footer" Target="footer5.xml"/><Relationship Id="rId12" Type="http://schemas.openxmlformats.org/officeDocument/2006/relationships/header" Target="header4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23E636E-9AED-417C-BF79-032C6A1397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14</Pages>
  <Words>5422</Words>
  <Characters>5963</Characters>
  <Lines>15</Lines>
  <Paragraphs>5</Paragraphs>
  <TotalTime>3</TotalTime>
  <ScaleCrop>false</ScaleCrop>
  <LinksUpToDate>false</LinksUpToDate>
  <CharactersWithSpaces>6020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2024-07-04T08:12:00Z</dcterms:created>
  <dc:creator>玄冰石</dc:creator>
  <cp:lastModifiedBy>Kk</cp:lastModifiedBy>
  <cp:lastPrinted>2024-07-02T05:20:00Z</cp:lastPrinted>
  <dcterms:modified xsi:type="dcterms:W3CDTF">2025-08-19T09:17:20Z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D137ACBABF754333AF0F10509EE13DD8_13</vt:lpwstr>
  </property>
  <property fmtid="{D5CDD505-2E9C-101B-9397-08002B2CF9AE}" pid="4" name="KSOTemplateDocerSaveRecord">
    <vt:lpwstr>eyJoZGlkIjoiMzEwNTM5NzYwMDRjMzkwZTVkZjY2ODkwMGIxNGU0OTUiLCJ1c2VySWQiOiIxMzM0MjU5MTM3In0=</vt:lpwstr>
  </property>
</Properties>
</file>