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60185">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31AAA4B1">
      <w:pPr>
        <w:spacing w:line="240" w:lineRule="auto"/>
        <w:ind w:firstLine="0" w:firstLineChars="0"/>
        <w:rPr>
          <w:rFonts w:ascii="隶书" w:eastAsia="隶书"/>
          <w:spacing w:val="-60"/>
          <w:sz w:val="32"/>
          <w:szCs w:val="32"/>
        </w:rPr>
      </w:pPr>
    </w:p>
    <w:p w14:paraId="5E98B8C6">
      <w:pPr>
        <w:spacing w:line="240" w:lineRule="auto"/>
        <w:ind w:firstLine="400"/>
        <w:rPr>
          <w:rFonts w:ascii="隶书" w:eastAsia="隶书"/>
          <w:spacing w:val="-60"/>
          <w:sz w:val="32"/>
          <w:szCs w:val="32"/>
        </w:rPr>
      </w:pPr>
    </w:p>
    <w:p w14:paraId="54377429">
      <w:pPr>
        <w:spacing w:line="240" w:lineRule="auto"/>
        <w:ind w:firstLine="0" w:firstLineChars="0"/>
        <w:jc w:val="center"/>
        <w:rPr>
          <w:rFonts w:hint="eastAsia" w:ascii="黑体" w:hAnsi="楷体" w:eastAsia="黑体"/>
          <w:b/>
          <w:sz w:val="60"/>
          <w:szCs w:val="60"/>
          <w:lang w:eastAsia="zh-CN"/>
        </w:rPr>
      </w:pPr>
      <w:r>
        <w:rPr>
          <w:rFonts w:hint="eastAsia" w:ascii="黑体" w:hAnsi="楷体" w:eastAsia="黑体"/>
          <w:b/>
          <w:sz w:val="72"/>
          <w:szCs w:val="72"/>
          <w:lang w:eastAsia="zh-CN"/>
        </w:rPr>
        <w:t>《</w:t>
      </w:r>
      <w:r>
        <w:rPr>
          <w:rFonts w:hint="eastAsia" w:ascii="黑体" w:hAnsi="楷体" w:eastAsia="黑体"/>
          <w:b/>
          <w:sz w:val="72"/>
          <w:szCs w:val="72"/>
          <w:lang w:val="en-US" w:eastAsia="zh-CN"/>
        </w:rPr>
        <w:t>中国旅游地理</w:t>
      </w:r>
      <w:r>
        <w:rPr>
          <w:rFonts w:hint="eastAsia" w:ascii="黑体" w:hAnsi="楷体" w:eastAsia="黑体"/>
          <w:b/>
          <w:sz w:val="72"/>
          <w:szCs w:val="72"/>
          <w:lang w:eastAsia="zh-CN"/>
        </w:rPr>
        <w:t>》</w:t>
      </w:r>
    </w:p>
    <w:p w14:paraId="0EEA0C73">
      <w:pPr>
        <w:spacing w:line="240" w:lineRule="auto"/>
        <w:ind w:firstLine="0" w:firstLineChars="0"/>
        <w:jc w:val="center"/>
        <w:rPr>
          <w:sz w:val="24"/>
          <w:szCs w:val="21"/>
        </w:rPr>
      </w:pPr>
      <w:r>
        <w:rPr>
          <w:rFonts w:hint="eastAsia" w:ascii="黑体" w:hAnsi="楷体" w:eastAsia="黑体"/>
          <w:b/>
          <w:sz w:val="60"/>
          <w:szCs w:val="60"/>
        </w:rPr>
        <w:t>课程标准</w:t>
      </w:r>
    </w:p>
    <w:p w14:paraId="3CCDDB03">
      <w:pPr>
        <w:ind w:firstLine="560"/>
      </w:pPr>
    </w:p>
    <w:p w14:paraId="3F6694B3">
      <w:pPr>
        <w:ind w:firstLine="0" w:firstLineChars="0"/>
      </w:pPr>
    </w:p>
    <w:tbl>
      <w:tblPr>
        <w:tblStyle w:val="17"/>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57F128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6FFBB240">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715DF50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05297EDC">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98551DD">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744F26E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34FF9281">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14:paraId="3E535D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6BD726FF">
            <w:pPr>
              <w:widowControl/>
              <w:adjustRightInd w:val="0"/>
              <w:snapToGrid w:val="0"/>
              <w:ind w:firstLine="0" w:firstLineChars="0"/>
              <w:jc w:val="center"/>
              <w:textAlignment w:val="center"/>
              <w:rPr>
                <w:sz w:val="24"/>
                <w:szCs w:val="24"/>
              </w:rPr>
            </w:pPr>
            <w:r>
              <w:rPr>
                <w:rFonts w:hint="eastAsia"/>
                <w:sz w:val="24"/>
                <w:szCs w:val="24"/>
              </w:rPr>
              <w:t>教学单位</w:t>
            </w:r>
          </w:p>
          <w:p w14:paraId="47DD874D">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777D64FF">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488AC16">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64F69107">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568094B5">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14:paraId="3ED0F110">
      <w:pPr>
        <w:ind w:firstLine="0" w:firstLineChars="0"/>
      </w:pPr>
    </w:p>
    <w:p w14:paraId="383B31E2">
      <w:pPr>
        <w:snapToGrid w:val="0"/>
        <w:spacing w:line="360" w:lineRule="auto"/>
        <w:ind w:firstLine="720"/>
        <w:jc w:val="center"/>
        <w:rPr>
          <w:rFonts w:ascii="宋体" w:hAnsi="宋体" w:cs="宋体"/>
          <w:b/>
          <w:bCs/>
          <w:kern w:val="36"/>
          <w:sz w:val="36"/>
          <w:szCs w:val="36"/>
        </w:rPr>
      </w:pPr>
    </w:p>
    <w:p w14:paraId="36D1D6E4">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lang w:val="en-US" w:eastAsia="zh-CN"/>
        </w:rPr>
        <w:t>5</w:t>
      </w:r>
      <w:r>
        <w:rPr>
          <w:b/>
          <w:bCs/>
          <w:kern w:val="36"/>
          <w:sz w:val="36"/>
          <w:szCs w:val="36"/>
        </w:rPr>
        <w:t>年</w:t>
      </w:r>
      <w:r>
        <w:rPr>
          <w:rFonts w:hint="eastAsia"/>
          <w:b/>
          <w:bCs/>
          <w:kern w:val="36"/>
          <w:sz w:val="36"/>
          <w:szCs w:val="36"/>
          <w:lang w:val="en-US" w:eastAsia="zh-CN"/>
        </w:rPr>
        <w:t>5</w:t>
      </w:r>
      <w:r>
        <w:rPr>
          <w:b/>
          <w:bCs/>
          <w:kern w:val="36"/>
          <w:sz w:val="36"/>
          <w:szCs w:val="36"/>
        </w:rPr>
        <w:t>月</w:t>
      </w:r>
    </w:p>
    <w:p w14:paraId="07D6A12A">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38E15B2E">
          <w:pPr>
            <w:spacing w:line="240" w:lineRule="auto"/>
            <w:ind w:firstLine="0" w:firstLineChars="0"/>
            <w:jc w:val="center"/>
            <w:rPr>
              <w:rFonts w:ascii="宋体" w:hAnsi="宋体" w:eastAsia="宋体"/>
              <w:sz w:val="21"/>
            </w:rPr>
          </w:pPr>
        </w:p>
        <w:p w14:paraId="78D18813">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14:paraId="6E27E9A4">
          <w:pPr>
            <w:pStyle w:val="14"/>
            <w:tabs>
              <w:tab w:val="right" w:leader="dot" w:pos="8306"/>
            </w:tabs>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kern w:val="36"/>
              <w:szCs w:val="36"/>
            </w:rPr>
            <w:fldChar w:fldCharType="begin"/>
          </w:r>
          <w:r>
            <w:rPr>
              <w:rFonts w:hint="eastAsia" w:ascii="宋体" w:hAnsi="宋体" w:eastAsia="宋体" w:cs="宋体"/>
              <w:kern w:val="36"/>
              <w:szCs w:val="36"/>
            </w:rPr>
            <w:instrText xml:space="preserve"> HYPERLINK \l _Toc11713 </w:instrText>
          </w:r>
          <w:r>
            <w:rPr>
              <w:rFonts w:hint="eastAsia" w:ascii="宋体" w:hAnsi="宋体" w:eastAsia="宋体" w:cs="宋体"/>
              <w:kern w:val="36"/>
              <w:szCs w:val="36"/>
            </w:rPr>
            <w:fldChar w:fldCharType="separate"/>
          </w:r>
          <w:r>
            <w:rPr>
              <w:rFonts w:hint="eastAsia"/>
            </w:rPr>
            <w:t>一、课程基本信息</w:t>
          </w:r>
          <w:r>
            <w:tab/>
          </w:r>
          <w:r>
            <w:fldChar w:fldCharType="begin"/>
          </w:r>
          <w:r>
            <w:instrText xml:space="preserve"> PAGEREF _Toc11713 \h </w:instrText>
          </w:r>
          <w:r>
            <w:fldChar w:fldCharType="separate"/>
          </w:r>
          <w:r>
            <w:t>1</w:t>
          </w:r>
          <w:r>
            <w:fldChar w:fldCharType="end"/>
          </w:r>
          <w:r>
            <w:rPr>
              <w:rFonts w:hint="eastAsia" w:ascii="宋体" w:hAnsi="宋体" w:eastAsia="宋体" w:cs="宋体"/>
              <w:kern w:val="36"/>
              <w:szCs w:val="36"/>
            </w:rPr>
            <w:fldChar w:fldCharType="end"/>
          </w:r>
        </w:p>
        <w:p w14:paraId="33812737">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_Toc20662 </w:instrText>
          </w:r>
          <w:r>
            <w:rPr>
              <w:rFonts w:hint="eastAsia" w:ascii="宋体" w:hAnsi="宋体" w:eastAsia="宋体" w:cs="宋体"/>
              <w:bCs/>
              <w:kern w:val="36"/>
              <w:szCs w:val="36"/>
            </w:rPr>
            <w:fldChar w:fldCharType="separate"/>
          </w:r>
          <w:r>
            <w:rPr>
              <w:rFonts w:hint="eastAsia"/>
            </w:rPr>
            <w:t>二、 课程任务</w:t>
          </w:r>
          <w:r>
            <w:tab/>
          </w:r>
          <w:r>
            <w:fldChar w:fldCharType="begin"/>
          </w:r>
          <w:r>
            <w:instrText xml:space="preserve"> PAGEREF _Toc20662 \h </w:instrText>
          </w:r>
          <w:r>
            <w:fldChar w:fldCharType="separate"/>
          </w:r>
          <w:r>
            <w:t>1</w:t>
          </w:r>
          <w:r>
            <w:fldChar w:fldCharType="end"/>
          </w:r>
          <w:r>
            <w:rPr>
              <w:rFonts w:hint="eastAsia" w:ascii="宋体" w:hAnsi="宋体" w:eastAsia="宋体" w:cs="宋体"/>
              <w:bCs/>
              <w:kern w:val="36"/>
              <w:szCs w:val="36"/>
            </w:rPr>
            <w:fldChar w:fldCharType="end"/>
          </w:r>
        </w:p>
        <w:p w14:paraId="1A652222">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_Toc32454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_Toc32454 \h </w:instrText>
          </w:r>
          <w:r>
            <w:fldChar w:fldCharType="separate"/>
          </w:r>
          <w:r>
            <w:t>2</w:t>
          </w:r>
          <w:r>
            <w:fldChar w:fldCharType="end"/>
          </w:r>
          <w:r>
            <w:rPr>
              <w:rFonts w:hint="eastAsia" w:ascii="宋体" w:hAnsi="宋体" w:eastAsia="宋体" w:cs="宋体"/>
              <w:bCs/>
              <w:kern w:val="36"/>
              <w:szCs w:val="36"/>
            </w:rPr>
            <w:fldChar w:fldCharType="end"/>
          </w:r>
        </w:p>
        <w:p w14:paraId="6424435F">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_Toc23227 </w:instrText>
          </w:r>
          <w:r>
            <w:rPr>
              <w:rFonts w:hint="eastAsia" w:ascii="宋体" w:hAnsi="宋体" w:eastAsia="宋体" w:cs="宋体"/>
              <w:bCs/>
              <w:kern w:val="36"/>
              <w:szCs w:val="36"/>
            </w:rPr>
            <w:fldChar w:fldCharType="separate"/>
          </w:r>
          <w:r>
            <w:rPr>
              <w:rFonts w:hint="eastAsia"/>
            </w:rPr>
            <w:t>（一） 素质目标</w:t>
          </w:r>
          <w:r>
            <w:tab/>
          </w:r>
          <w:r>
            <w:fldChar w:fldCharType="begin"/>
          </w:r>
          <w:r>
            <w:instrText xml:space="preserve"> PAGEREF _Toc23227 \h </w:instrText>
          </w:r>
          <w:r>
            <w:fldChar w:fldCharType="separate"/>
          </w:r>
          <w:r>
            <w:t>2</w:t>
          </w:r>
          <w:r>
            <w:fldChar w:fldCharType="end"/>
          </w:r>
          <w:r>
            <w:rPr>
              <w:rFonts w:hint="eastAsia" w:ascii="宋体" w:hAnsi="宋体" w:eastAsia="宋体" w:cs="宋体"/>
              <w:bCs/>
              <w:kern w:val="36"/>
              <w:szCs w:val="36"/>
            </w:rPr>
            <w:fldChar w:fldCharType="end"/>
          </w:r>
        </w:p>
        <w:p w14:paraId="37784365">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_Toc21402 </w:instrText>
          </w:r>
          <w:r>
            <w:rPr>
              <w:rFonts w:hint="eastAsia" w:ascii="宋体" w:hAnsi="宋体" w:eastAsia="宋体" w:cs="宋体"/>
              <w:bCs/>
              <w:kern w:val="36"/>
              <w:szCs w:val="36"/>
            </w:rPr>
            <w:fldChar w:fldCharType="separate"/>
          </w:r>
          <w:r>
            <w:rPr>
              <w:rFonts w:hint="eastAsia"/>
            </w:rPr>
            <w:t>（二） 知识目标</w:t>
          </w:r>
          <w:r>
            <w:tab/>
          </w:r>
          <w:r>
            <w:fldChar w:fldCharType="begin"/>
          </w:r>
          <w:r>
            <w:instrText xml:space="preserve"> PAGEREF _Toc21402 \h </w:instrText>
          </w:r>
          <w:r>
            <w:fldChar w:fldCharType="separate"/>
          </w:r>
          <w:r>
            <w:t>2</w:t>
          </w:r>
          <w:r>
            <w:fldChar w:fldCharType="end"/>
          </w:r>
          <w:r>
            <w:rPr>
              <w:rFonts w:hint="eastAsia" w:ascii="宋体" w:hAnsi="宋体" w:eastAsia="宋体" w:cs="宋体"/>
              <w:bCs/>
              <w:kern w:val="36"/>
              <w:szCs w:val="36"/>
            </w:rPr>
            <w:fldChar w:fldCharType="end"/>
          </w:r>
        </w:p>
        <w:p w14:paraId="7F8B83E3">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_Toc17716 </w:instrText>
          </w:r>
          <w:r>
            <w:rPr>
              <w:rFonts w:hint="eastAsia" w:ascii="宋体" w:hAnsi="宋体" w:eastAsia="宋体" w:cs="宋体"/>
              <w:bCs/>
              <w:kern w:val="36"/>
              <w:szCs w:val="36"/>
            </w:rPr>
            <w:fldChar w:fldCharType="separate"/>
          </w:r>
          <w:r>
            <w:rPr>
              <w:rFonts w:hint="eastAsia"/>
            </w:rPr>
            <w:t>（三） 能力目标</w:t>
          </w:r>
          <w:r>
            <w:tab/>
          </w:r>
          <w:r>
            <w:fldChar w:fldCharType="begin"/>
          </w:r>
          <w:r>
            <w:instrText xml:space="preserve"> PAGEREF _Toc17716 \h </w:instrText>
          </w:r>
          <w:r>
            <w:fldChar w:fldCharType="separate"/>
          </w:r>
          <w:r>
            <w:t>3</w:t>
          </w:r>
          <w:r>
            <w:fldChar w:fldCharType="end"/>
          </w:r>
          <w:r>
            <w:rPr>
              <w:rFonts w:hint="eastAsia" w:ascii="宋体" w:hAnsi="宋体" w:eastAsia="宋体" w:cs="宋体"/>
              <w:bCs/>
              <w:kern w:val="36"/>
              <w:szCs w:val="36"/>
            </w:rPr>
            <w:fldChar w:fldCharType="end"/>
          </w:r>
        </w:p>
        <w:p w14:paraId="2E3C31E5">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_Toc5235 </w:instrText>
          </w:r>
          <w:r>
            <w:rPr>
              <w:rFonts w:hint="eastAsia" w:ascii="宋体" w:hAnsi="宋体" w:eastAsia="宋体" w:cs="宋体"/>
              <w:bCs/>
              <w:kern w:val="36"/>
              <w:szCs w:val="36"/>
            </w:rPr>
            <w:fldChar w:fldCharType="separate"/>
          </w:r>
          <w:r>
            <w:rPr>
              <w:rFonts w:hint="eastAsia"/>
            </w:rPr>
            <w:t>四、课程职业能力分析</w:t>
          </w:r>
          <w:r>
            <w:tab/>
          </w:r>
          <w:r>
            <w:fldChar w:fldCharType="begin"/>
          </w:r>
          <w:r>
            <w:instrText xml:space="preserve"> PAGEREF _Toc5235 \h </w:instrText>
          </w:r>
          <w:r>
            <w:fldChar w:fldCharType="separate"/>
          </w:r>
          <w:r>
            <w:t>3</w:t>
          </w:r>
          <w:r>
            <w:fldChar w:fldCharType="end"/>
          </w:r>
          <w:r>
            <w:rPr>
              <w:rFonts w:hint="eastAsia" w:ascii="宋体" w:hAnsi="宋体" w:eastAsia="宋体" w:cs="宋体"/>
              <w:bCs/>
              <w:kern w:val="36"/>
              <w:szCs w:val="36"/>
            </w:rPr>
            <w:fldChar w:fldCharType="end"/>
          </w:r>
        </w:p>
        <w:p w14:paraId="0E0B19A4">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_Toc20607 </w:instrText>
          </w:r>
          <w:r>
            <w:rPr>
              <w:rFonts w:hint="eastAsia" w:ascii="宋体" w:hAnsi="宋体" w:eastAsia="宋体" w:cs="宋体"/>
              <w:bCs/>
              <w:kern w:val="36"/>
              <w:szCs w:val="36"/>
            </w:rPr>
            <w:fldChar w:fldCharType="separate"/>
          </w:r>
          <w:r>
            <w:rPr>
              <w:rFonts w:hint="eastAsia"/>
            </w:rPr>
            <w:t>五、课程设计思路</w:t>
          </w:r>
          <w:r>
            <w:tab/>
          </w:r>
          <w:r>
            <w:fldChar w:fldCharType="begin"/>
          </w:r>
          <w:r>
            <w:instrText xml:space="preserve"> PAGEREF _Toc20607 \h </w:instrText>
          </w:r>
          <w:r>
            <w:fldChar w:fldCharType="separate"/>
          </w:r>
          <w:r>
            <w:t>5</w:t>
          </w:r>
          <w:r>
            <w:fldChar w:fldCharType="end"/>
          </w:r>
          <w:r>
            <w:rPr>
              <w:rFonts w:hint="eastAsia" w:ascii="宋体" w:hAnsi="宋体" w:eastAsia="宋体" w:cs="宋体"/>
              <w:bCs/>
              <w:kern w:val="36"/>
              <w:szCs w:val="36"/>
            </w:rPr>
            <w:fldChar w:fldCharType="end"/>
          </w:r>
        </w:p>
        <w:p w14:paraId="4B20ABD2">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_Toc7471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教学路径</w:t>
          </w:r>
          <w:r>
            <w:tab/>
          </w:r>
          <w:r>
            <w:fldChar w:fldCharType="begin"/>
          </w:r>
          <w:r>
            <w:instrText xml:space="preserve"> PAGEREF _Toc7471 \h </w:instrText>
          </w:r>
          <w:r>
            <w:fldChar w:fldCharType="separate"/>
          </w:r>
          <w:r>
            <w:t>5</w:t>
          </w:r>
          <w:r>
            <w:fldChar w:fldCharType="end"/>
          </w:r>
          <w:r>
            <w:rPr>
              <w:rFonts w:hint="eastAsia" w:ascii="宋体" w:hAnsi="宋体" w:eastAsia="宋体" w:cs="宋体"/>
              <w:bCs/>
              <w:kern w:val="36"/>
              <w:szCs w:val="36"/>
            </w:rPr>
            <w:fldChar w:fldCharType="end"/>
          </w:r>
        </w:p>
        <w:p w14:paraId="30B75871">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_Toc31255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w:t>
          </w:r>
          <w:r>
            <w:rPr>
              <w:rFonts w:hint="eastAsia"/>
            </w:rPr>
            <w:t>教学评价</w:t>
          </w:r>
          <w:r>
            <w:tab/>
          </w:r>
          <w:r>
            <w:fldChar w:fldCharType="begin"/>
          </w:r>
          <w:r>
            <w:instrText xml:space="preserve"> PAGEREF _Toc31255 \h </w:instrText>
          </w:r>
          <w:r>
            <w:fldChar w:fldCharType="separate"/>
          </w:r>
          <w:r>
            <w:t>6</w:t>
          </w:r>
          <w:r>
            <w:fldChar w:fldCharType="end"/>
          </w:r>
          <w:r>
            <w:rPr>
              <w:rFonts w:hint="eastAsia" w:ascii="宋体" w:hAnsi="宋体" w:eastAsia="宋体" w:cs="宋体"/>
              <w:bCs/>
              <w:kern w:val="36"/>
              <w:szCs w:val="36"/>
            </w:rPr>
            <w:fldChar w:fldCharType="end"/>
          </w:r>
        </w:p>
        <w:p w14:paraId="077A722B">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_Toc2599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三</w:t>
          </w:r>
          <w:r>
            <w:rPr>
              <w:rFonts w:hint="eastAsia"/>
              <w:lang w:eastAsia="zh-CN"/>
            </w:rPr>
            <w:t>）</w:t>
          </w:r>
          <w:r>
            <w:rPr>
              <w:rFonts w:hint="eastAsia"/>
            </w:rPr>
            <w:t>课程思政</w:t>
          </w:r>
          <w:r>
            <w:tab/>
          </w:r>
          <w:r>
            <w:fldChar w:fldCharType="begin"/>
          </w:r>
          <w:r>
            <w:instrText xml:space="preserve"> PAGEREF _Toc2599 \h </w:instrText>
          </w:r>
          <w:r>
            <w:fldChar w:fldCharType="separate"/>
          </w:r>
          <w:r>
            <w:t>6</w:t>
          </w:r>
          <w:r>
            <w:fldChar w:fldCharType="end"/>
          </w:r>
          <w:r>
            <w:rPr>
              <w:rFonts w:hint="eastAsia" w:ascii="宋体" w:hAnsi="宋体" w:eastAsia="宋体" w:cs="宋体"/>
              <w:bCs/>
              <w:kern w:val="36"/>
              <w:szCs w:val="36"/>
            </w:rPr>
            <w:fldChar w:fldCharType="end"/>
          </w:r>
        </w:p>
        <w:p w14:paraId="649BD953">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_Toc22160 </w:instrText>
          </w:r>
          <w:r>
            <w:rPr>
              <w:rFonts w:hint="eastAsia" w:ascii="宋体" w:hAnsi="宋体" w:eastAsia="宋体" w:cs="宋体"/>
              <w:bCs/>
              <w:kern w:val="36"/>
              <w:szCs w:val="36"/>
            </w:rPr>
            <w:fldChar w:fldCharType="separate"/>
          </w:r>
          <w:r>
            <w:rPr>
              <w:rFonts w:hint="eastAsia"/>
            </w:rPr>
            <w:t>六、课程结构与内容</w:t>
          </w:r>
          <w:r>
            <w:tab/>
          </w:r>
          <w:r>
            <w:fldChar w:fldCharType="begin"/>
          </w:r>
          <w:r>
            <w:instrText xml:space="preserve"> PAGEREF _Toc22160 \h </w:instrText>
          </w:r>
          <w:r>
            <w:fldChar w:fldCharType="separate"/>
          </w:r>
          <w:r>
            <w:t>7</w:t>
          </w:r>
          <w:r>
            <w:fldChar w:fldCharType="end"/>
          </w:r>
          <w:r>
            <w:rPr>
              <w:rFonts w:hint="eastAsia" w:ascii="宋体" w:hAnsi="宋体" w:eastAsia="宋体" w:cs="宋体"/>
              <w:bCs/>
              <w:kern w:val="36"/>
              <w:szCs w:val="36"/>
            </w:rPr>
            <w:fldChar w:fldCharType="end"/>
          </w:r>
        </w:p>
        <w:p w14:paraId="5CEE57D3">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_Toc26810 </w:instrText>
          </w:r>
          <w:r>
            <w:rPr>
              <w:rFonts w:hint="eastAsia" w:ascii="宋体" w:hAnsi="宋体" w:eastAsia="宋体" w:cs="宋体"/>
              <w:bCs/>
              <w:kern w:val="36"/>
              <w:szCs w:val="36"/>
            </w:rPr>
            <w:fldChar w:fldCharType="separate"/>
          </w:r>
          <w:r>
            <w:rPr>
              <w:rFonts w:hint="eastAsia" w:ascii="仿宋" w:hAnsi="仿宋" w:eastAsia="仿宋" w:cs="仿宋"/>
              <w:kern w:val="0"/>
              <w:szCs w:val="24"/>
              <w:lang w:val="en-US" w:eastAsia="zh-CN" w:bidi="ar-SA"/>
            </w:rPr>
            <w:t>旅行社产品开发</w:t>
          </w:r>
          <w:r>
            <w:tab/>
          </w:r>
          <w:r>
            <w:fldChar w:fldCharType="begin"/>
          </w:r>
          <w:r>
            <w:instrText xml:space="preserve"> PAGEREF _Toc26810 \h </w:instrText>
          </w:r>
          <w:r>
            <w:fldChar w:fldCharType="separate"/>
          </w:r>
          <w:r>
            <w:t>8</w:t>
          </w:r>
          <w:r>
            <w:fldChar w:fldCharType="end"/>
          </w:r>
          <w:r>
            <w:rPr>
              <w:rFonts w:hint="eastAsia" w:ascii="宋体" w:hAnsi="宋体" w:eastAsia="宋体" w:cs="宋体"/>
              <w:bCs/>
              <w:kern w:val="36"/>
              <w:szCs w:val="36"/>
            </w:rPr>
            <w:fldChar w:fldCharType="end"/>
          </w:r>
        </w:p>
        <w:p w14:paraId="5A76444A">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_Toc17537 </w:instrText>
          </w:r>
          <w:r>
            <w:rPr>
              <w:rFonts w:hint="eastAsia" w:ascii="宋体" w:hAnsi="宋体" w:eastAsia="宋体" w:cs="宋体"/>
              <w:bCs/>
              <w:kern w:val="36"/>
              <w:szCs w:val="36"/>
            </w:rPr>
            <w:fldChar w:fldCharType="separate"/>
          </w:r>
          <w:r>
            <w:rPr>
              <w:rFonts w:hint="eastAsia"/>
            </w:rPr>
            <w:t>七、学习评价</w:t>
          </w:r>
          <w:r>
            <w:tab/>
          </w:r>
          <w:r>
            <w:fldChar w:fldCharType="begin"/>
          </w:r>
          <w:r>
            <w:instrText xml:space="preserve"> PAGEREF _Toc17537 \h </w:instrText>
          </w:r>
          <w:r>
            <w:fldChar w:fldCharType="separate"/>
          </w:r>
          <w:r>
            <w:t>10</w:t>
          </w:r>
          <w:r>
            <w:fldChar w:fldCharType="end"/>
          </w:r>
          <w:r>
            <w:rPr>
              <w:rFonts w:hint="eastAsia" w:ascii="宋体" w:hAnsi="宋体" w:eastAsia="宋体" w:cs="宋体"/>
              <w:bCs/>
              <w:kern w:val="36"/>
              <w:szCs w:val="36"/>
            </w:rPr>
            <w:fldChar w:fldCharType="end"/>
          </w:r>
        </w:p>
        <w:p w14:paraId="724F1FC3">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_Toc20745 </w:instrText>
          </w:r>
          <w:r>
            <w:rPr>
              <w:rFonts w:hint="eastAsia" w:ascii="宋体" w:hAnsi="宋体" w:eastAsia="宋体" w:cs="宋体"/>
              <w:bCs/>
              <w:kern w:val="36"/>
              <w:szCs w:val="36"/>
            </w:rPr>
            <w:fldChar w:fldCharType="separate"/>
          </w:r>
          <w:r>
            <w:rPr>
              <w:rFonts w:hint="eastAsia"/>
            </w:rPr>
            <w:t>八、教学资源</w:t>
          </w:r>
          <w:r>
            <w:tab/>
          </w:r>
          <w:r>
            <w:fldChar w:fldCharType="begin"/>
          </w:r>
          <w:r>
            <w:instrText xml:space="preserve"> PAGEREF _Toc20745 \h </w:instrText>
          </w:r>
          <w:r>
            <w:fldChar w:fldCharType="separate"/>
          </w:r>
          <w:r>
            <w:t>12</w:t>
          </w:r>
          <w:r>
            <w:fldChar w:fldCharType="end"/>
          </w:r>
          <w:r>
            <w:rPr>
              <w:rFonts w:hint="eastAsia" w:ascii="宋体" w:hAnsi="宋体" w:eastAsia="宋体" w:cs="宋体"/>
              <w:bCs/>
              <w:kern w:val="36"/>
              <w:szCs w:val="36"/>
            </w:rPr>
            <w:fldChar w:fldCharType="end"/>
          </w:r>
        </w:p>
        <w:p w14:paraId="3D673164">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_Toc1991 </w:instrText>
          </w:r>
          <w:r>
            <w:rPr>
              <w:rFonts w:hint="eastAsia" w:ascii="宋体" w:hAnsi="宋体" w:eastAsia="宋体" w:cs="宋体"/>
              <w:bCs/>
              <w:kern w:val="36"/>
              <w:szCs w:val="36"/>
            </w:rPr>
            <w:fldChar w:fldCharType="separate"/>
          </w:r>
          <w:r>
            <w:rPr>
              <w:rFonts w:hint="eastAsia"/>
            </w:rPr>
            <w:t>（一）主要参考教材</w:t>
          </w:r>
          <w:r>
            <w:tab/>
          </w:r>
          <w:r>
            <w:fldChar w:fldCharType="begin"/>
          </w:r>
          <w:r>
            <w:instrText xml:space="preserve"> PAGEREF _Toc1991 \h </w:instrText>
          </w:r>
          <w:r>
            <w:fldChar w:fldCharType="separate"/>
          </w:r>
          <w:r>
            <w:t>12</w:t>
          </w:r>
          <w:r>
            <w:fldChar w:fldCharType="end"/>
          </w:r>
          <w:r>
            <w:rPr>
              <w:rFonts w:hint="eastAsia" w:ascii="宋体" w:hAnsi="宋体" w:eastAsia="宋体" w:cs="宋体"/>
              <w:bCs/>
              <w:kern w:val="36"/>
              <w:szCs w:val="36"/>
            </w:rPr>
            <w:fldChar w:fldCharType="end"/>
          </w:r>
        </w:p>
        <w:p w14:paraId="6863646B">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_Toc23228 </w:instrText>
          </w:r>
          <w:r>
            <w:rPr>
              <w:rFonts w:hint="eastAsia" w:ascii="宋体" w:hAnsi="宋体" w:eastAsia="宋体" w:cs="宋体"/>
              <w:bCs/>
              <w:kern w:val="36"/>
              <w:szCs w:val="36"/>
            </w:rPr>
            <w:fldChar w:fldCharType="separate"/>
          </w:r>
          <w:r>
            <w:rPr>
              <w:rFonts w:hint="eastAsia"/>
            </w:rPr>
            <w:t>（二） 其他参考资料</w:t>
          </w:r>
          <w:r>
            <w:tab/>
          </w:r>
          <w:r>
            <w:fldChar w:fldCharType="begin"/>
          </w:r>
          <w:r>
            <w:instrText xml:space="preserve"> PAGEREF _Toc23228 \h </w:instrText>
          </w:r>
          <w:r>
            <w:fldChar w:fldCharType="separate"/>
          </w:r>
          <w:r>
            <w:t>12</w:t>
          </w:r>
          <w:r>
            <w:fldChar w:fldCharType="end"/>
          </w:r>
          <w:r>
            <w:rPr>
              <w:rFonts w:hint="eastAsia" w:ascii="宋体" w:hAnsi="宋体" w:eastAsia="宋体" w:cs="宋体"/>
              <w:bCs/>
              <w:kern w:val="36"/>
              <w:szCs w:val="36"/>
            </w:rPr>
            <w:fldChar w:fldCharType="end"/>
          </w:r>
        </w:p>
        <w:p w14:paraId="3BE1DAA4">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_Toc6077 </w:instrText>
          </w:r>
          <w:r>
            <w:rPr>
              <w:rFonts w:hint="eastAsia" w:ascii="宋体" w:hAnsi="宋体" w:eastAsia="宋体" w:cs="宋体"/>
              <w:bCs/>
              <w:kern w:val="36"/>
              <w:szCs w:val="36"/>
            </w:rPr>
            <w:fldChar w:fldCharType="separate"/>
          </w:r>
          <w:r>
            <w:rPr>
              <w:rFonts w:hint="eastAsia"/>
            </w:rPr>
            <w:t>（三）实训条件</w:t>
          </w:r>
          <w:r>
            <w:tab/>
          </w:r>
          <w:r>
            <w:fldChar w:fldCharType="begin"/>
          </w:r>
          <w:r>
            <w:instrText xml:space="preserve"> PAGEREF _Toc6077 \h </w:instrText>
          </w:r>
          <w:r>
            <w:fldChar w:fldCharType="separate"/>
          </w:r>
          <w:r>
            <w:t>12</w:t>
          </w:r>
          <w:r>
            <w:fldChar w:fldCharType="end"/>
          </w:r>
          <w:r>
            <w:rPr>
              <w:rFonts w:hint="eastAsia" w:ascii="宋体" w:hAnsi="宋体" w:eastAsia="宋体" w:cs="宋体"/>
              <w:bCs/>
              <w:kern w:val="36"/>
              <w:szCs w:val="36"/>
            </w:rPr>
            <w:fldChar w:fldCharType="end"/>
          </w:r>
        </w:p>
        <w:p w14:paraId="76C24AA7">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_Toc97 </w:instrText>
          </w:r>
          <w:r>
            <w:rPr>
              <w:rFonts w:hint="eastAsia" w:ascii="宋体" w:hAnsi="宋体" w:eastAsia="宋体" w:cs="宋体"/>
              <w:bCs/>
              <w:kern w:val="36"/>
              <w:szCs w:val="36"/>
            </w:rPr>
            <w:fldChar w:fldCharType="separate"/>
          </w:r>
          <w:r>
            <w:rPr>
              <w:rFonts w:hint="eastAsia"/>
            </w:rPr>
            <w:t>（四）信息化教学资源</w:t>
          </w:r>
          <w:r>
            <w:tab/>
          </w:r>
          <w:r>
            <w:fldChar w:fldCharType="begin"/>
          </w:r>
          <w:r>
            <w:instrText xml:space="preserve"> PAGEREF _Toc97 \h </w:instrText>
          </w:r>
          <w:r>
            <w:fldChar w:fldCharType="separate"/>
          </w:r>
          <w:r>
            <w:t>13</w:t>
          </w:r>
          <w:r>
            <w:fldChar w:fldCharType="end"/>
          </w:r>
          <w:r>
            <w:rPr>
              <w:rFonts w:hint="eastAsia" w:ascii="宋体" w:hAnsi="宋体" w:eastAsia="宋体" w:cs="宋体"/>
              <w:bCs/>
              <w:kern w:val="36"/>
              <w:szCs w:val="36"/>
            </w:rPr>
            <w:fldChar w:fldCharType="end"/>
          </w:r>
        </w:p>
        <w:p w14:paraId="280FD6F9">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_Toc10388 </w:instrText>
          </w:r>
          <w:r>
            <w:rPr>
              <w:rFonts w:hint="eastAsia" w:ascii="宋体" w:hAnsi="宋体" w:eastAsia="宋体" w:cs="宋体"/>
              <w:bCs/>
              <w:kern w:val="36"/>
              <w:szCs w:val="36"/>
            </w:rPr>
            <w:fldChar w:fldCharType="separate"/>
          </w:r>
          <w:r>
            <w:rPr>
              <w:rFonts w:hint="eastAsia"/>
              <w:lang w:eastAsia="zh-CN"/>
            </w:rPr>
            <w:t xml:space="preserve">九、 </w:t>
          </w:r>
          <w:r>
            <w:rPr>
              <w:rFonts w:hint="eastAsia"/>
            </w:rPr>
            <w:t>师资要求</w:t>
          </w:r>
          <w:r>
            <w:tab/>
          </w:r>
          <w:r>
            <w:fldChar w:fldCharType="begin"/>
          </w:r>
          <w:r>
            <w:instrText xml:space="preserve"> PAGEREF _Toc10388 \h </w:instrText>
          </w:r>
          <w:r>
            <w:fldChar w:fldCharType="separate"/>
          </w:r>
          <w:r>
            <w:t>13</w:t>
          </w:r>
          <w:r>
            <w:fldChar w:fldCharType="end"/>
          </w:r>
          <w:r>
            <w:rPr>
              <w:rFonts w:hint="eastAsia" w:ascii="宋体" w:hAnsi="宋体" w:eastAsia="宋体" w:cs="宋体"/>
              <w:bCs/>
              <w:kern w:val="36"/>
              <w:szCs w:val="36"/>
            </w:rPr>
            <w:fldChar w:fldCharType="end"/>
          </w:r>
        </w:p>
        <w:p w14:paraId="25AECB3E">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_Toc30081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r>
            <w:tab/>
          </w:r>
          <w:r>
            <w:fldChar w:fldCharType="begin"/>
          </w:r>
          <w:r>
            <w:instrText xml:space="preserve"> PAGEREF _Toc30081 \h </w:instrText>
          </w:r>
          <w:r>
            <w:fldChar w:fldCharType="separate"/>
          </w:r>
          <w:r>
            <w:t>13</w:t>
          </w:r>
          <w:r>
            <w:fldChar w:fldCharType="end"/>
          </w:r>
          <w:r>
            <w:rPr>
              <w:rFonts w:hint="eastAsia" w:ascii="宋体" w:hAnsi="宋体" w:eastAsia="宋体" w:cs="宋体"/>
              <w:bCs/>
              <w:kern w:val="36"/>
              <w:szCs w:val="36"/>
            </w:rPr>
            <w:fldChar w:fldCharType="end"/>
          </w:r>
        </w:p>
        <w:p w14:paraId="0B2FAC44">
          <w:pPr>
            <w:pStyle w:val="16"/>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_Toc29403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）对兼职教师的基本要求</w:t>
          </w:r>
          <w:r>
            <w:tab/>
          </w:r>
          <w:r>
            <w:fldChar w:fldCharType="begin"/>
          </w:r>
          <w:r>
            <w:instrText xml:space="preserve"> PAGEREF _Toc29403 \h </w:instrText>
          </w:r>
          <w:r>
            <w:fldChar w:fldCharType="separate"/>
          </w:r>
          <w:r>
            <w:t>13</w:t>
          </w:r>
          <w:r>
            <w:fldChar w:fldCharType="end"/>
          </w:r>
          <w:r>
            <w:rPr>
              <w:rFonts w:hint="eastAsia" w:ascii="宋体" w:hAnsi="宋体" w:eastAsia="宋体" w:cs="宋体"/>
              <w:bCs/>
              <w:kern w:val="36"/>
              <w:szCs w:val="36"/>
            </w:rPr>
            <w:fldChar w:fldCharType="end"/>
          </w:r>
        </w:p>
        <w:p w14:paraId="091745C9">
          <w:pPr>
            <w:pStyle w:val="14"/>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_Toc28766 </w:instrText>
          </w:r>
          <w:r>
            <w:rPr>
              <w:rFonts w:hint="eastAsia" w:ascii="宋体" w:hAnsi="宋体" w:eastAsia="宋体" w:cs="宋体"/>
              <w:bCs/>
              <w:kern w:val="36"/>
              <w:szCs w:val="36"/>
            </w:rPr>
            <w:fldChar w:fldCharType="separate"/>
          </w:r>
          <w:r>
            <w:rPr>
              <w:rFonts w:hint="eastAsia"/>
            </w:rPr>
            <w:t>十、其它说明</w:t>
          </w:r>
          <w:r>
            <w:tab/>
          </w:r>
          <w:r>
            <w:fldChar w:fldCharType="begin"/>
          </w:r>
          <w:r>
            <w:instrText xml:space="preserve"> PAGEREF _Toc28766 \h </w:instrText>
          </w:r>
          <w:r>
            <w:fldChar w:fldCharType="separate"/>
          </w:r>
          <w:r>
            <w:t>13</w:t>
          </w:r>
          <w:r>
            <w:fldChar w:fldCharType="end"/>
          </w:r>
          <w:r>
            <w:rPr>
              <w:rFonts w:hint="eastAsia" w:ascii="宋体" w:hAnsi="宋体" w:eastAsia="宋体" w:cs="宋体"/>
              <w:bCs/>
              <w:kern w:val="36"/>
              <w:szCs w:val="36"/>
            </w:rPr>
            <w:fldChar w:fldCharType="end"/>
          </w:r>
        </w:p>
        <w:p w14:paraId="64AD7DDB">
          <w:pPr>
            <w:snapToGrid w:val="0"/>
            <w:spacing w:line="520" w:lineRule="exact"/>
            <w:ind w:firstLine="560"/>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0C581331">
      <w:pPr>
        <w:pStyle w:val="4"/>
        <w:ind w:firstLine="653"/>
      </w:pPr>
      <w:bookmarkStart w:id="0" w:name="_Toc502337258"/>
      <w:bookmarkStart w:id="1" w:name="_Toc10917"/>
      <w:bookmarkStart w:id="2" w:name="_Toc11713"/>
      <w:bookmarkStart w:id="3" w:name="_Toc2469"/>
      <w:bookmarkStart w:id="4" w:name="_Toc16819"/>
      <w:bookmarkStart w:id="5" w:name="_Toc8847"/>
      <w:r>
        <w:rPr>
          <w:rFonts w:hint="eastAsia"/>
        </w:rPr>
        <w:t>一、课程</w:t>
      </w:r>
      <w:bookmarkEnd w:id="0"/>
      <w:r>
        <w:rPr>
          <w:rFonts w:hint="eastAsia"/>
        </w:rPr>
        <w:t>基本信息</w:t>
      </w:r>
      <w:bookmarkEnd w:id="1"/>
      <w:bookmarkEnd w:id="2"/>
    </w:p>
    <w:p w14:paraId="37636035">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6C572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7ABCB4C5">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4B0ECFAA">
            <w:pPr>
              <w:ind w:firstLine="0" w:firstLineChars="0"/>
              <w:jc w:val="center"/>
              <w:rPr>
                <w:rFonts w:hint="default" w:eastAsia="仿宋_GB2312"/>
                <w:sz w:val="24"/>
                <w:szCs w:val="21"/>
                <w:lang w:val="en-US" w:eastAsia="zh-CN"/>
              </w:rPr>
            </w:pPr>
            <w:r>
              <w:rPr>
                <w:rFonts w:hint="eastAsia"/>
                <w:sz w:val="24"/>
                <w:szCs w:val="21"/>
                <w:lang w:val="en-US" w:eastAsia="zh-CN"/>
              </w:rPr>
              <w:t>中国旅游地理</w:t>
            </w:r>
          </w:p>
        </w:tc>
        <w:tc>
          <w:tcPr>
            <w:tcW w:w="1615" w:type="dxa"/>
            <w:tcBorders>
              <w:top w:val="single" w:color="auto" w:sz="12" w:space="0"/>
              <w:left w:val="single" w:color="auto" w:sz="4" w:space="0"/>
              <w:bottom w:val="single" w:color="auto" w:sz="4" w:space="0"/>
              <w:right w:val="single" w:color="auto" w:sz="4" w:space="0"/>
            </w:tcBorders>
            <w:vAlign w:val="center"/>
          </w:tcPr>
          <w:p w14:paraId="01BC4B19">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361760CE">
            <w:pPr>
              <w:ind w:firstLine="0" w:firstLineChars="0"/>
              <w:jc w:val="center"/>
              <w:rPr>
                <w:rFonts w:hint="default" w:eastAsia="仿宋_GB2312"/>
                <w:sz w:val="24"/>
                <w:szCs w:val="21"/>
                <w:lang w:val="en-US" w:eastAsia="zh-CN"/>
              </w:rPr>
            </w:pPr>
            <w:r>
              <w:rPr>
                <w:rFonts w:hint="eastAsia"/>
                <w:sz w:val="24"/>
                <w:szCs w:val="21"/>
                <w:shd w:val="clear"/>
                <w:lang w:val="en-US" w:eastAsia="zh-CN"/>
              </w:rPr>
              <w:t>10753</w:t>
            </w:r>
          </w:p>
        </w:tc>
      </w:tr>
      <w:tr w14:paraId="2B269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34A2AFB">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6AE2B202">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334C0E66">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0D719DB2">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14:paraId="111BF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2591FF7">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73312F93">
            <w:pPr>
              <w:ind w:firstLine="0" w:firstLineChars="0"/>
              <w:jc w:val="center"/>
              <w:rPr>
                <w:rFonts w:hint="default" w:eastAsia="仿宋_GB2312"/>
                <w:sz w:val="24"/>
                <w:szCs w:val="21"/>
                <w:lang w:val="en-US" w:eastAsia="zh-CN"/>
              </w:rPr>
            </w:pPr>
            <w:r>
              <w:rPr>
                <w:rFonts w:hint="eastAsia"/>
                <w:sz w:val="24"/>
                <w:szCs w:val="21"/>
                <w:lang w:val="en-US" w:eastAsia="zh-CN"/>
              </w:rPr>
              <w:t>32</w:t>
            </w:r>
          </w:p>
        </w:tc>
        <w:tc>
          <w:tcPr>
            <w:tcW w:w="1615" w:type="dxa"/>
            <w:tcBorders>
              <w:top w:val="single" w:color="auto" w:sz="4" w:space="0"/>
              <w:left w:val="single" w:color="auto" w:sz="4" w:space="0"/>
              <w:bottom w:val="single" w:color="auto" w:sz="4" w:space="0"/>
              <w:right w:val="single" w:color="auto" w:sz="4" w:space="0"/>
            </w:tcBorders>
            <w:vAlign w:val="center"/>
          </w:tcPr>
          <w:p w14:paraId="32F6278C">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42E9F53E">
            <w:pPr>
              <w:ind w:firstLine="0" w:firstLineChars="0"/>
              <w:jc w:val="center"/>
              <w:rPr>
                <w:rFonts w:hint="default" w:eastAsia="仿宋_GB2312"/>
                <w:sz w:val="24"/>
                <w:szCs w:val="21"/>
                <w:lang w:val="en-US" w:eastAsia="zh-CN"/>
              </w:rPr>
            </w:pPr>
            <w:r>
              <w:rPr>
                <w:rFonts w:hint="eastAsia"/>
                <w:sz w:val="24"/>
                <w:szCs w:val="21"/>
                <w:lang w:val="en-US" w:eastAsia="zh-CN"/>
              </w:rPr>
              <w:t>2</w:t>
            </w:r>
          </w:p>
        </w:tc>
      </w:tr>
      <w:tr w14:paraId="2BCA6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7B9F5D9">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1E05365">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sz w:val="24"/>
                <w:szCs w:val="21"/>
              </w:rPr>
              <w:fldChar w:fldCharType="end"/>
            </w:r>
            <w:r>
              <w:rPr>
                <w:rFonts w:hint="eastAsia"/>
                <w:sz w:val="24"/>
                <w:szCs w:val="21"/>
              </w:rPr>
              <w:t xml:space="preserve">是             </w:t>
            </w:r>
            <w:r>
              <w:rPr>
                <w:rFonts w:hint="eastAsia"/>
                <w:sz w:val="24"/>
                <w:szCs w:val="21"/>
                <w:lang w:eastAsia="zh-CN"/>
              </w:rPr>
              <w:t>☑</w:t>
            </w:r>
            <w:r>
              <w:rPr>
                <w:rFonts w:hint="eastAsia"/>
                <w:sz w:val="24"/>
                <w:szCs w:val="21"/>
              </w:rPr>
              <w:t>否</w:t>
            </w:r>
          </w:p>
        </w:tc>
      </w:tr>
      <w:tr w14:paraId="78E6A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2FC903A">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79AAD90">
            <w:pPr>
              <w:ind w:firstLine="0" w:firstLineChars="0"/>
              <w:jc w:val="center"/>
              <w:rPr>
                <w:rFonts w:hint="default" w:eastAsia="仿宋_GB2312"/>
                <w:sz w:val="24"/>
                <w:szCs w:val="21"/>
                <w:lang w:val="en-US" w:eastAsia="zh-CN"/>
              </w:rPr>
            </w:pPr>
            <w:r>
              <w:rPr>
                <w:rFonts w:hint="eastAsia"/>
                <w:sz w:val="24"/>
                <w:szCs w:val="21"/>
                <w:lang w:val="en-US" w:eastAsia="zh-CN"/>
              </w:rPr>
              <w:t>旅游管理专业</w:t>
            </w:r>
          </w:p>
        </w:tc>
      </w:tr>
      <w:tr w14:paraId="1ACBC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F5D0E60">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0854DAB7">
            <w:pPr>
              <w:ind w:firstLine="0" w:firstLineChars="0"/>
              <w:jc w:val="center"/>
              <w:rPr>
                <w:rFonts w:hint="default" w:eastAsia="仿宋_GB2312"/>
                <w:sz w:val="24"/>
                <w:szCs w:val="21"/>
                <w:lang w:val="en-US" w:eastAsia="zh-CN"/>
              </w:rPr>
            </w:pPr>
            <w:r>
              <w:rPr>
                <w:rFonts w:hint="eastAsia"/>
                <w:sz w:val="24"/>
                <w:szCs w:val="21"/>
                <w:lang w:val="en-US" w:eastAsia="zh-CN"/>
              </w:rPr>
              <w:fldChar w:fldCharType="begin"/>
            </w:r>
            <w:r>
              <w:rPr>
                <w:rFonts w:hint="eastAsia"/>
                <w:sz w:val="24"/>
                <w:szCs w:val="21"/>
                <w:lang w:val="en-US" w:eastAsia="zh-CN"/>
              </w:rPr>
              <w:instrText xml:space="preserve"> HYPERLINK "https://www.baidu.com/s?rsv_dl=re_dqa_generate&amp;sa=re_dqa_generate&amp;wd=%E3%80%8A%E6%97%85%E6%B8%B8%E5%AD%A6%E6%A6%82%E8%AE%BA%E3%80%8B&amp;rsv_pq=e82a83bd0021433e&amp;oq=%E4%B8%AD%E5%9B%BD%E6%97%85%E6%B8%B8%E5%9C%B0%E7%90%86%E7%9A%84%E5%89%8D%E7%BD%AE%E8%AF%BE%E7%A8%8B%E6%9C%89%E5%93%AA%E4%BA%9B&amp;rsv_t=0245KniuvD9gsgA2xV/3tmL5QsbvFzCO+A+pBTUvW+2i37FqxQqYlg/BCfRXA7SRE6In&amp;tn=baiduhome_pg&amp;ie=utf-8" \t "https://www.baidu.com/_blank" </w:instrText>
            </w:r>
            <w:r>
              <w:rPr>
                <w:rFonts w:hint="eastAsia"/>
                <w:sz w:val="24"/>
                <w:szCs w:val="21"/>
                <w:lang w:val="en-US" w:eastAsia="zh-CN"/>
              </w:rPr>
              <w:fldChar w:fldCharType="separate"/>
            </w:r>
            <w:r>
              <w:rPr>
                <w:rFonts w:hint="eastAsia"/>
                <w:sz w:val="24"/>
                <w:szCs w:val="21"/>
                <w:lang w:val="en-US" w:eastAsia="zh-CN"/>
              </w:rPr>
              <w:t>《旅游学概论》</w:t>
            </w:r>
            <w:r>
              <w:rPr>
                <w:rFonts w:hint="eastAsia"/>
                <w:sz w:val="24"/>
                <w:szCs w:val="21"/>
                <w:lang w:val="en-US" w:eastAsia="zh-CN"/>
              </w:rPr>
              <w:fldChar w:fldCharType="end"/>
            </w:r>
            <w:r>
              <w:rPr>
                <w:rFonts w:hint="eastAsia"/>
                <w:sz w:val="24"/>
                <w:szCs w:val="21"/>
                <w:lang w:val="en-US" w:eastAsia="zh-CN"/>
              </w:rPr>
              <w:t>、</w:t>
            </w:r>
            <w:r>
              <w:rPr>
                <w:rFonts w:hint="eastAsia"/>
                <w:sz w:val="24"/>
                <w:szCs w:val="21"/>
                <w:lang w:val="en-US" w:eastAsia="zh-CN"/>
              </w:rPr>
              <w:fldChar w:fldCharType="begin"/>
            </w:r>
            <w:r>
              <w:rPr>
                <w:rFonts w:hint="eastAsia"/>
                <w:sz w:val="24"/>
                <w:szCs w:val="21"/>
                <w:lang w:val="en-US" w:eastAsia="zh-CN"/>
              </w:rPr>
              <w:instrText xml:space="preserve"> HYPERLINK "https://www.baidu.com/s?rsv_dl=re_dqa_generate&amp;sa=re_dqa_generate&amp;wd=%E3%80%8A%E5%AF%BC%E6%B8%B8%E5%9F%BA%E7%A1%80%E7%9F%A5%E8%AF%86%E3%80%8B&amp;rsv_pq=e82a83bd0021433e&amp;oq=%E4%B8%AD%E5%9B%BD%E6%97%85%E6%B8%B8%E5%9C%B0%E7%90%86%E7%9A%84%E5%89%8D%E7%BD%AE%E8%AF%BE%E7%A8%8B%E6%9C%89%E5%93%AA%E4%BA%9B&amp;rsv_t=0245KniuvD9gsgA2xV/3tmL5QsbvFzCO+A+pBTUvW+2i37FqxQqYlg/BCfRXA7SRE6In&amp;tn=baiduhome_pg&amp;ie=utf-8" \t "https://www.baidu.com/_blank" </w:instrText>
            </w:r>
            <w:r>
              <w:rPr>
                <w:rFonts w:hint="eastAsia"/>
                <w:sz w:val="24"/>
                <w:szCs w:val="21"/>
                <w:lang w:val="en-US" w:eastAsia="zh-CN"/>
              </w:rPr>
              <w:fldChar w:fldCharType="separate"/>
            </w:r>
            <w:r>
              <w:rPr>
                <w:rFonts w:hint="eastAsia"/>
                <w:sz w:val="24"/>
                <w:szCs w:val="21"/>
                <w:lang w:val="en-US" w:eastAsia="zh-CN"/>
              </w:rPr>
              <w:t>《导游基础知识》</w:t>
            </w:r>
            <w:r>
              <w:rPr>
                <w:rFonts w:hint="eastAsia"/>
                <w:sz w:val="24"/>
                <w:szCs w:val="21"/>
                <w:lang w:val="en-US" w:eastAsia="zh-CN"/>
              </w:rPr>
              <w:fldChar w:fldCharType="end"/>
            </w:r>
            <w:r>
              <w:rPr>
                <w:rFonts w:hint="eastAsia"/>
                <w:sz w:val="24"/>
                <w:szCs w:val="21"/>
                <w:lang w:val="en-US" w:eastAsia="zh-CN"/>
              </w:rPr>
              <w:t>、《自然地理学》</w:t>
            </w:r>
          </w:p>
        </w:tc>
      </w:tr>
    </w:tbl>
    <w:p w14:paraId="0278DEA6">
      <w:pPr>
        <w:pStyle w:val="4"/>
        <w:numPr>
          <w:ilvl w:val="0"/>
          <w:numId w:val="1"/>
        </w:numPr>
        <w:ind w:firstLine="653"/>
      </w:pPr>
      <w:bookmarkStart w:id="6" w:name="_Toc20662"/>
      <w:bookmarkStart w:id="7" w:name="_Toc30964"/>
      <w:bookmarkStart w:id="8" w:name="_Toc502337262"/>
      <w:r>
        <w:rPr>
          <w:rFonts w:hint="eastAsia"/>
        </w:rPr>
        <w:t>课程任务</w:t>
      </w:r>
      <w:bookmarkEnd w:id="6"/>
    </w:p>
    <w:p w14:paraId="7402EAE7">
      <w:pPr>
        <w:ind w:firstLine="560"/>
        <w:rPr>
          <w:rFonts w:hint="eastAsia" w:ascii="Times New Roman" w:hAnsi="Times New Roman" w:cs="Times New Roman"/>
        </w:rPr>
      </w:pPr>
      <w:r>
        <w:rPr>
          <w:rFonts w:hint="eastAsia"/>
        </w:rPr>
        <w:t>《</w:t>
      </w:r>
      <w:r>
        <w:rPr>
          <w:rFonts w:hint="eastAsia"/>
          <w:lang w:val="en-US" w:eastAsia="zh-CN"/>
        </w:rPr>
        <w:t>中国旅游地理</w:t>
      </w:r>
      <w:r>
        <w:rPr>
          <w:rFonts w:hint="eastAsia"/>
        </w:rPr>
        <w:t>》是</w:t>
      </w:r>
      <w:r>
        <w:rPr>
          <w:rFonts w:hint="eastAsia"/>
          <w:lang w:val="en-US" w:eastAsia="zh-CN"/>
        </w:rPr>
        <w:t>旅游管理</w:t>
      </w:r>
      <w:r>
        <w:rPr>
          <w:rFonts w:hint="eastAsia"/>
        </w:rPr>
        <w:t>专业的一门</w:t>
      </w:r>
      <w:r>
        <w:rPr>
          <w:rFonts w:hint="eastAsia"/>
          <w:lang w:val="en-US" w:eastAsia="zh-CN"/>
        </w:rPr>
        <w:t>专业基础</w:t>
      </w:r>
      <w:r>
        <w:rPr>
          <w:rFonts w:hint="eastAsia"/>
        </w:rPr>
        <w:t>课，本课程全面贯彻党的教育方针，落实立德树人根本任务，培养学生爱岗敬业、精益求精的工匠精神和创新意识。帮助学生掌握</w:t>
      </w:r>
      <w:r>
        <w:rPr>
          <w:rFonts w:hint="eastAsia"/>
          <w:lang w:val="en-US" w:eastAsia="zh-CN"/>
        </w:rPr>
        <w:t>认知中国旅游地理、博览京畿物华胜迹一京华旅游大区、拾趣关东白山黑水一东北旅游大区、寻觅塞外丝路古迹一西北旅游大区、寻根华夏古都文明一华北旅游大区、体验高山峡谷风情一西南旅游大区、感悟两湖荆楚文化一华中旅游大区、漫游吴越诗画江南一华东旅游大区、领略岭南山海侨乡一华南旅游大区、探秘屋脊雪域藏乡--青藏旅游大区等</w:t>
      </w:r>
      <w:r>
        <w:rPr>
          <w:rFonts w:hint="eastAsia"/>
        </w:rPr>
        <w:t>知识，</w:t>
      </w:r>
      <w:r>
        <w:rPr>
          <w:rFonts w:hint="eastAsia"/>
          <w:lang w:val="en-US" w:eastAsia="zh-CN"/>
        </w:rPr>
        <w:t>，学生能够全面认识中国旅游行业的地理基础，掌握旅游资源开发与管理的实践技能，为从事旅游规划、市场营销、景区管理等工作奠定坚实基础</w:t>
      </w:r>
      <w:r>
        <w:rPr>
          <w:rFonts w:hint="eastAsia"/>
        </w:rPr>
        <w:t>。</w:t>
      </w:r>
    </w:p>
    <w:p w14:paraId="69B99DAA">
      <w:pPr>
        <w:ind w:firstLine="560"/>
        <w:rPr>
          <w:rFonts w:hint="eastAsia" w:ascii="Times New Roman" w:hAnsi="Times New Roman" w:cs="Times New Roman"/>
        </w:rPr>
      </w:pPr>
      <w:r>
        <w:rPr>
          <w:rFonts w:hint="eastAsia"/>
        </w:rPr>
        <w:t>通过本课程教学</w:t>
      </w:r>
      <w:r>
        <w:rPr>
          <w:rFonts w:hint="eastAsia" w:ascii="Times New Roman" w:hAnsi="Times New Roman" w:cs="Times New Roman"/>
        </w:rPr>
        <w:t>，</w:t>
      </w:r>
      <w:r>
        <w:rPr>
          <w:rFonts w:hint="eastAsia" w:cs="Times New Roman"/>
          <w:lang w:val="en-US" w:eastAsia="zh-CN"/>
        </w:rPr>
        <w:t>能够培养学生</w:t>
      </w:r>
      <w:r>
        <w:rPr>
          <w:rFonts w:hint="eastAsia" w:ascii="Times New Roman" w:hAnsi="Times New Roman" w:cs="Times New Roman"/>
        </w:rPr>
        <w:t>较强的就业创业能力和可持续发展的能力，掌握本专业知识和技术技能，具备职业综合素质和行动能力，面向旅行社、旅游</w:t>
      </w:r>
      <w:r>
        <w:rPr>
          <w:rFonts w:hint="eastAsia" w:cs="Times New Roman"/>
          <w:lang w:val="en-US" w:eastAsia="zh-CN"/>
        </w:rPr>
        <w:t>市场</w:t>
      </w:r>
      <w:r>
        <w:rPr>
          <w:rFonts w:hint="eastAsia" w:ascii="Times New Roman" w:hAnsi="Times New Roman" w:cs="Times New Roman"/>
        </w:rPr>
        <w:t>运营及管理岗位群，能够从事旅行社运营、旅游产品营销、旅游服务管理及创新创业能力，具有良好的人文素养、服务意识和数字素养的高技能人才。这些技能和能力将使学生在未来的职业生涯中能够更好地适应市场需求，</w:t>
      </w:r>
      <w:r>
        <w:rPr>
          <w:rFonts w:hint="eastAsia" w:cs="Times New Roman"/>
          <w:lang w:val="en-US" w:eastAsia="zh-CN"/>
        </w:rPr>
        <w:t>提升就业竞争力，促进自身职业发展</w:t>
      </w:r>
      <w:r>
        <w:rPr>
          <w:rFonts w:hint="eastAsia" w:ascii="Times New Roman" w:hAnsi="Times New Roman" w:cs="Times New Roman"/>
        </w:rPr>
        <w:t>。</w:t>
      </w:r>
    </w:p>
    <w:p w14:paraId="70796BBD">
      <w:pPr>
        <w:pStyle w:val="4"/>
        <w:ind w:firstLine="653"/>
      </w:pPr>
      <w:bookmarkStart w:id="9" w:name="_Toc32454"/>
      <w:r>
        <w:rPr>
          <w:rFonts w:hint="eastAsia"/>
        </w:rPr>
        <w:t>三、课程目标</w:t>
      </w:r>
      <w:bookmarkEnd w:id="7"/>
      <w:bookmarkEnd w:id="8"/>
      <w:bookmarkEnd w:id="9"/>
      <w:bookmarkStart w:id="10" w:name="_Toc502337263"/>
    </w:p>
    <w:p w14:paraId="24C45105">
      <w:pPr>
        <w:ind w:firstLine="560"/>
      </w:pPr>
      <w:r>
        <w:rPr>
          <w:rFonts w:hint="eastAsia"/>
        </w:rPr>
        <w:t>完成本课程学习后，学生应当具有以下素质、知识和能力：</w:t>
      </w:r>
    </w:p>
    <w:bookmarkEnd w:id="10"/>
    <w:p w14:paraId="79F205A8">
      <w:pPr>
        <w:pStyle w:val="5"/>
        <w:numPr>
          <w:ilvl w:val="0"/>
          <w:numId w:val="2"/>
        </w:numPr>
        <w:ind w:firstLine="560"/>
      </w:pPr>
      <w:bookmarkStart w:id="11" w:name="_Toc7412"/>
      <w:bookmarkStart w:id="12" w:name="_Toc23227"/>
      <w:bookmarkStart w:id="13" w:name="_Toc90472987"/>
      <w:r>
        <w:rPr>
          <w:rFonts w:hint="eastAsia"/>
        </w:rPr>
        <w:t>素质目标</w:t>
      </w:r>
      <w:bookmarkEnd w:id="11"/>
      <w:bookmarkEnd w:id="12"/>
      <w:bookmarkEnd w:id="13"/>
      <w:bookmarkStart w:id="14" w:name="_Toc24734"/>
      <w:bookmarkStart w:id="15" w:name="_Toc90472988"/>
      <w:bookmarkStart w:id="16" w:name="_Toc502337264"/>
    </w:p>
    <w:p w14:paraId="0289005F">
      <w:pPr>
        <w:numPr>
          <w:ilvl w:val="0"/>
          <w:numId w:val="3"/>
        </w:numPr>
        <w:bidi w:val="0"/>
        <w:ind w:firstLine="560" w:firstLineChars="200"/>
        <w:rPr>
          <w:rFonts w:hint="eastAsia"/>
        </w:rPr>
      </w:pPr>
      <w:r>
        <w:rPr>
          <w:rFonts w:hint="eastAsia"/>
        </w:rPr>
        <w:t>培养学生的爱国情怀和民族自豪感，增强学生的文化自信；</w:t>
      </w:r>
    </w:p>
    <w:p w14:paraId="02CD38A8">
      <w:pPr>
        <w:numPr>
          <w:ilvl w:val="0"/>
          <w:numId w:val="3"/>
        </w:numPr>
        <w:bidi w:val="0"/>
        <w:ind w:firstLine="560" w:firstLineChars="200"/>
        <w:rPr>
          <w:rFonts w:hint="eastAsia"/>
        </w:rPr>
      </w:pPr>
      <w:r>
        <w:rPr>
          <w:rFonts w:hint="eastAsia"/>
        </w:rPr>
        <w:t>提高学生的团队协作能力和沟通能力，增强学生的组织协调能力；</w:t>
      </w:r>
    </w:p>
    <w:p w14:paraId="34A14D95">
      <w:pPr>
        <w:numPr>
          <w:ilvl w:val="0"/>
          <w:numId w:val="3"/>
        </w:numPr>
        <w:bidi w:val="0"/>
        <w:ind w:firstLine="560" w:firstLineChars="200"/>
        <w:rPr>
          <w:rFonts w:hint="eastAsia"/>
        </w:rPr>
      </w:pPr>
      <w:r>
        <w:rPr>
          <w:rFonts w:hint="eastAsia"/>
        </w:rPr>
        <w:t>培养学生的创新意识和创新能力，提高学生的综合素质。</w:t>
      </w:r>
    </w:p>
    <w:p w14:paraId="48446046">
      <w:pPr>
        <w:pStyle w:val="5"/>
        <w:numPr>
          <w:ilvl w:val="0"/>
          <w:numId w:val="2"/>
        </w:numPr>
        <w:ind w:firstLine="560"/>
      </w:pPr>
      <w:bookmarkStart w:id="17" w:name="_Toc21402"/>
      <w:r>
        <w:rPr>
          <w:rFonts w:hint="eastAsia"/>
        </w:rPr>
        <w:t>知识目标</w:t>
      </w:r>
      <w:bookmarkEnd w:id="14"/>
      <w:bookmarkEnd w:id="15"/>
      <w:bookmarkEnd w:id="16"/>
      <w:bookmarkEnd w:id="17"/>
      <w:bookmarkStart w:id="18" w:name="_Toc502337265"/>
    </w:p>
    <w:p w14:paraId="74A54595">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掌握中国旅游地理的基本概念和内涵；</w:t>
      </w:r>
    </w:p>
    <w:p w14:paraId="4353CF47">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了解中国各地的旅游资源分布和特点；</w:t>
      </w:r>
    </w:p>
    <w:p w14:paraId="333D4035">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熟悉不同旅游区域的特色和代表性景点。</w:t>
      </w:r>
    </w:p>
    <w:p w14:paraId="321C3F32">
      <w:pPr>
        <w:pStyle w:val="5"/>
        <w:numPr>
          <w:ilvl w:val="0"/>
          <w:numId w:val="2"/>
        </w:numPr>
        <w:ind w:firstLine="560"/>
      </w:pPr>
      <w:bookmarkStart w:id="19" w:name="_Toc90472989"/>
      <w:bookmarkStart w:id="20" w:name="_Toc17716"/>
      <w:bookmarkStart w:id="21" w:name="_Toc12623"/>
      <w:r>
        <w:rPr>
          <w:rFonts w:hint="eastAsia"/>
        </w:rPr>
        <w:t>能力目标</w:t>
      </w:r>
      <w:bookmarkEnd w:id="18"/>
      <w:bookmarkEnd w:id="19"/>
      <w:bookmarkEnd w:id="20"/>
      <w:bookmarkEnd w:id="21"/>
    </w:p>
    <w:p w14:paraId="2FD01A76">
      <w:pPr>
        <w:numPr>
          <w:ilvl w:val="0"/>
          <w:numId w:val="5"/>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培养学生的旅游规划能力，能够根据不同旅游资源的特点制定相应的旅游路线和行程安排；</w:t>
      </w:r>
    </w:p>
    <w:p w14:paraId="7AB24737">
      <w:pPr>
        <w:numPr>
          <w:ilvl w:val="0"/>
          <w:numId w:val="5"/>
        </w:numPr>
        <w:autoSpaceDE w:val="0"/>
        <w:autoSpaceDN w:val="0"/>
        <w:adjustRightInd w:val="0"/>
        <w:ind w:firstLine="560" w:firstLineChars="200"/>
        <w:rPr>
          <w:rFonts w:hint="eastAsia" w:cs="宋体"/>
          <w:color w:val="000000" w:themeColor="text1"/>
          <w14:textFill>
            <w14:solidFill>
              <w14:schemeClr w14:val="tx1"/>
            </w14:solidFill>
          </w14:textFill>
        </w:rPr>
      </w:pPr>
      <w:r>
        <w:rPr>
          <w:rFonts w:hint="eastAsia"/>
          <w:color w:val="000000" w:themeColor="text1"/>
          <w14:textFill>
            <w14:solidFill>
              <w14:schemeClr w14:val="tx1"/>
            </w14:solidFill>
          </w14:textFill>
        </w:rPr>
        <w:t>培养学生的导游讲解能力，能够准确、生动地讲解中国旅游地理知识，吸引游客的兴趣。</w:t>
      </w:r>
    </w:p>
    <w:p w14:paraId="107A3698">
      <w:pPr>
        <w:pStyle w:val="2"/>
        <w:rPr>
          <w:rFonts w:hint="default" w:eastAsia="仿宋"/>
          <w:lang w:val="en-US" w:eastAsia="zh-CN"/>
        </w:rPr>
      </w:pPr>
      <w:r>
        <w:rPr>
          <w:rFonts w:hint="eastAsia"/>
          <w:color w:val="000000" w:themeColor="text1"/>
          <w:lang w:val="en-US" w:eastAsia="zh-CN"/>
          <w14:textFill>
            <w14:solidFill>
              <w14:schemeClr w14:val="tx1"/>
            </w14:solidFill>
          </w14:textFill>
        </w:rPr>
        <w:t>3.培养学生智慧旅游技术应用</w:t>
      </w:r>
    </w:p>
    <w:p w14:paraId="45BBEF9A">
      <w:pPr>
        <w:pStyle w:val="4"/>
        <w:ind w:firstLine="653"/>
      </w:pPr>
      <w:bookmarkStart w:id="22" w:name="_Toc11296"/>
      <w:bookmarkStart w:id="23" w:name="_Toc5235"/>
      <w:r>
        <w:rPr>
          <w:rFonts w:hint="eastAsia"/>
        </w:rPr>
        <w:t>四、课程职业能力分析</w:t>
      </w:r>
      <w:bookmarkEnd w:id="22"/>
      <w:bookmarkEnd w:id="23"/>
    </w:p>
    <w:p w14:paraId="51903F9A">
      <w:pPr>
        <w:widowControl/>
        <w:spacing w:before="156" w:beforeLines="50"/>
        <w:ind w:firstLine="0" w:firstLineChars="0"/>
        <w:jc w:val="center"/>
        <w:rPr>
          <w:rFonts w:ascii="仿宋_GB2312" w:hAnsi="仿宋_GB2312" w:cs="仿宋_GB2312"/>
          <w:b/>
          <w:color w:val="000000"/>
          <w:sz w:val="24"/>
          <w:szCs w:val="24"/>
          <w:highlight w:val="none"/>
        </w:rPr>
      </w:pPr>
      <w:r>
        <w:rPr>
          <w:rFonts w:hint="eastAsia" w:ascii="仿宋_GB2312" w:hAnsi="仿宋_GB2312" w:cs="仿宋_GB2312"/>
          <w:b/>
          <w:color w:val="000000"/>
          <w:sz w:val="24"/>
          <w:szCs w:val="24"/>
          <w:highlight w:val="none"/>
        </w:rPr>
        <w:t>表2. 课程职业能力分析表</w:t>
      </w:r>
    </w:p>
    <w:tbl>
      <w:tblPr>
        <w:tblStyle w:val="18"/>
        <w:tblW w:w="9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4"/>
        <w:gridCol w:w="1242"/>
        <w:gridCol w:w="4248"/>
        <w:gridCol w:w="1044"/>
        <w:gridCol w:w="1710"/>
      </w:tblGrid>
      <w:tr w14:paraId="1DB7A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1154" w:type="dxa"/>
            <w:tcBorders>
              <w:top w:val="single" w:color="auto" w:sz="12" w:space="0"/>
              <w:left w:val="single" w:color="auto" w:sz="12" w:space="0"/>
              <w:bottom w:val="single" w:color="auto" w:sz="4" w:space="0"/>
              <w:right w:val="single" w:color="auto" w:sz="4" w:space="0"/>
            </w:tcBorders>
            <w:shd w:val="clear" w:color="auto" w:fill="auto"/>
            <w:vAlign w:val="center"/>
          </w:tcPr>
          <w:p w14:paraId="7DB6B07E">
            <w:pPr>
              <w:widowControl/>
              <w:spacing w:line="400" w:lineRule="exact"/>
              <w:ind w:firstLine="0" w:firstLineChars="0"/>
              <w:jc w:val="center"/>
              <w:rPr>
                <w:rFonts w:hint="eastAsia" w:ascii="黑体" w:hAnsi="黑体" w:eastAsia="黑体" w:cs="黑体"/>
                <w:b w:val="0"/>
                <w:bCs/>
                <w:color w:val="auto"/>
                <w:kern w:val="0"/>
                <w:sz w:val="24"/>
                <w:szCs w:val="24"/>
              </w:rPr>
            </w:pPr>
            <w:bookmarkStart w:id="24" w:name="_Toc30005"/>
            <w:bookmarkStart w:id="25" w:name="_Toc502337266"/>
            <w:r>
              <w:rPr>
                <w:rFonts w:hint="eastAsia" w:ascii="黑体" w:hAnsi="黑体" w:eastAsia="黑体" w:cs="黑体"/>
                <w:b w:val="0"/>
                <w:bCs/>
                <w:color w:val="auto"/>
                <w:kern w:val="0"/>
                <w:sz w:val="24"/>
                <w:szCs w:val="24"/>
              </w:rPr>
              <w:t>工作岗位</w:t>
            </w:r>
          </w:p>
        </w:tc>
        <w:tc>
          <w:tcPr>
            <w:tcW w:w="1242" w:type="dxa"/>
            <w:tcBorders>
              <w:top w:val="single" w:color="auto" w:sz="12" w:space="0"/>
              <w:left w:val="single" w:color="auto" w:sz="4" w:space="0"/>
              <w:bottom w:val="single" w:color="auto" w:sz="4" w:space="0"/>
              <w:right w:val="single" w:color="auto" w:sz="4" w:space="0"/>
            </w:tcBorders>
            <w:shd w:val="clear" w:color="auto" w:fill="auto"/>
            <w:vAlign w:val="center"/>
          </w:tcPr>
          <w:p w14:paraId="33FD554D">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工作任务</w:t>
            </w:r>
          </w:p>
        </w:tc>
        <w:tc>
          <w:tcPr>
            <w:tcW w:w="4248" w:type="dxa"/>
            <w:tcBorders>
              <w:top w:val="single" w:color="auto" w:sz="12" w:space="0"/>
              <w:left w:val="single" w:color="auto" w:sz="4" w:space="0"/>
              <w:bottom w:val="single" w:color="auto" w:sz="4" w:space="0"/>
              <w:right w:val="single" w:color="auto" w:sz="4" w:space="0"/>
            </w:tcBorders>
            <w:vAlign w:val="center"/>
          </w:tcPr>
          <w:p w14:paraId="2349EB7B">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工作内容</w:t>
            </w:r>
          </w:p>
        </w:tc>
        <w:tc>
          <w:tcPr>
            <w:tcW w:w="1044" w:type="dxa"/>
            <w:tcBorders>
              <w:top w:val="single" w:color="auto" w:sz="12" w:space="0"/>
              <w:left w:val="single" w:color="auto" w:sz="4" w:space="0"/>
              <w:bottom w:val="single" w:color="auto" w:sz="4" w:space="0"/>
              <w:right w:val="single" w:color="auto" w:sz="4" w:space="0"/>
            </w:tcBorders>
            <w:shd w:val="clear" w:color="auto" w:fill="auto"/>
            <w:vAlign w:val="center"/>
          </w:tcPr>
          <w:p w14:paraId="2F2D7572">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技能点</w:t>
            </w:r>
          </w:p>
        </w:tc>
        <w:tc>
          <w:tcPr>
            <w:tcW w:w="1710" w:type="dxa"/>
            <w:tcBorders>
              <w:top w:val="single" w:color="auto" w:sz="12" w:space="0"/>
              <w:left w:val="single" w:color="auto" w:sz="4" w:space="0"/>
              <w:bottom w:val="single" w:color="auto" w:sz="4" w:space="0"/>
              <w:right w:val="single" w:color="auto" w:sz="12" w:space="0"/>
            </w:tcBorders>
            <w:shd w:val="clear" w:color="auto" w:fill="auto"/>
            <w:vAlign w:val="center"/>
          </w:tcPr>
          <w:p w14:paraId="574BDC2C">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知识点</w:t>
            </w:r>
          </w:p>
        </w:tc>
      </w:tr>
      <w:tr w14:paraId="6D5F5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2" w:hRule="atLeast"/>
          <w:jc w:val="center"/>
        </w:trPr>
        <w:tc>
          <w:tcPr>
            <w:tcW w:w="1154" w:type="dxa"/>
            <w:tcBorders>
              <w:top w:val="single" w:color="auto" w:sz="4" w:space="0"/>
              <w:left w:val="single" w:color="auto" w:sz="12" w:space="0"/>
              <w:right w:val="single" w:color="auto" w:sz="4" w:space="0"/>
            </w:tcBorders>
            <w:shd w:val="clear" w:color="auto" w:fill="FDFDFE"/>
            <w:vAlign w:val="top"/>
          </w:tcPr>
          <w:p w14:paraId="3F513473">
            <w:pPr>
              <w:pStyle w:val="36"/>
              <w:spacing w:line="240" w:lineRule="auto"/>
              <w:ind w:firstLine="0" w:firstLineChars="0"/>
              <w:rPr>
                <w:rFonts w:hint="default" w:ascii="仿宋" w:hAnsi="仿宋" w:eastAsia="仿宋" w:cs="仿宋"/>
                <w:color w:val="auto"/>
                <w:sz w:val="24"/>
                <w:szCs w:val="24"/>
                <w:highlight w:val="none"/>
                <w:lang w:val="en-US" w:eastAsia="zh-CN"/>
              </w:rPr>
            </w:pPr>
            <w:r>
              <w:rPr>
                <w:rFonts w:hint="default" w:ascii="仿宋" w:hAnsi="仿宋" w:eastAsia="仿宋" w:cs="仿宋"/>
                <w:color w:val="auto"/>
                <w:sz w:val="24"/>
                <w:szCs w:val="24"/>
                <w:highlight w:val="none"/>
                <w:lang w:val="en-US" w:eastAsia="zh-CN"/>
              </w:rPr>
              <w:t>导游</w:t>
            </w:r>
          </w:p>
          <w:p w14:paraId="53DD7241">
            <w:pPr>
              <w:pStyle w:val="36"/>
              <w:spacing w:line="240" w:lineRule="auto"/>
              <w:ind w:firstLine="0" w:firstLineChars="0"/>
              <w:rPr>
                <w:rFonts w:hint="default" w:ascii="仿宋" w:hAnsi="仿宋" w:eastAsia="仿宋" w:cs="仿宋"/>
                <w:color w:val="auto"/>
                <w:sz w:val="24"/>
                <w:szCs w:val="24"/>
                <w:highlight w:val="none"/>
                <w:lang w:val="en-US" w:eastAsia="zh-CN"/>
              </w:rPr>
            </w:pPr>
            <w:r>
              <w:rPr>
                <w:rFonts w:hint="default" w:ascii="仿宋" w:hAnsi="仿宋" w:eastAsia="仿宋" w:cs="仿宋"/>
                <w:color w:val="auto"/>
                <w:sz w:val="24"/>
                <w:szCs w:val="24"/>
                <w:highlight w:val="none"/>
                <w:lang w:val="en-US" w:eastAsia="zh-CN"/>
              </w:rPr>
              <w:t>（4-07-04-01）</w:t>
            </w:r>
          </w:p>
          <w:p w14:paraId="21A2B745">
            <w:pPr>
              <w:pStyle w:val="36"/>
              <w:spacing w:line="240" w:lineRule="auto"/>
              <w:ind w:firstLine="0" w:firstLineChars="0"/>
              <w:rPr>
                <w:rFonts w:hint="default" w:ascii="仿宋" w:hAnsi="仿宋" w:eastAsia="仿宋" w:cs="仿宋"/>
                <w:color w:val="auto"/>
                <w:sz w:val="24"/>
                <w:szCs w:val="24"/>
                <w:highlight w:val="none"/>
                <w:lang w:val="en-US" w:eastAsia="zh-CN"/>
              </w:rPr>
            </w:pPr>
            <w:r>
              <w:rPr>
                <w:rFonts w:hint="default" w:ascii="仿宋" w:hAnsi="仿宋" w:eastAsia="仿宋" w:cs="仿宋"/>
                <w:color w:val="auto"/>
                <w:sz w:val="24"/>
                <w:szCs w:val="24"/>
                <w:highlight w:val="none"/>
                <w:lang w:val="en-US" w:eastAsia="zh-CN"/>
              </w:rPr>
              <w:t>旅游团队领队（4-07-04-02）</w:t>
            </w:r>
          </w:p>
          <w:p w14:paraId="5A411141">
            <w:pPr>
              <w:pStyle w:val="36"/>
              <w:spacing w:line="240" w:lineRule="auto"/>
              <w:ind w:firstLine="0" w:firstLineChars="0"/>
              <w:rPr>
                <w:rFonts w:hint="default" w:ascii="仿宋" w:hAnsi="仿宋" w:eastAsia="仿宋" w:cs="仿宋"/>
                <w:color w:val="auto"/>
                <w:sz w:val="24"/>
                <w:szCs w:val="24"/>
                <w:highlight w:val="none"/>
                <w:lang w:val="en-US" w:eastAsia="zh-CN"/>
              </w:rPr>
            </w:pPr>
            <w:r>
              <w:rPr>
                <w:rFonts w:hint="default" w:ascii="仿宋" w:hAnsi="仿宋" w:eastAsia="仿宋" w:cs="仿宋"/>
                <w:color w:val="auto"/>
                <w:sz w:val="24"/>
                <w:szCs w:val="24"/>
                <w:highlight w:val="none"/>
                <w:lang w:val="en-US" w:eastAsia="zh-CN"/>
              </w:rPr>
              <w:t>旅游咨询员（4-07-04-04）</w:t>
            </w:r>
          </w:p>
          <w:p w14:paraId="6724252E">
            <w:pPr>
              <w:pStyle w:val="36"/>
              <w:spacing w:line="240" w:lineRule="auto"/>
              <w:ind w:firstLine="0" w:firstLineChars="0"/>
              <w:rPr>
                <w:rFonts w:hint="default" w:ascii="仿宋" w:hAnsi="仿宋" w:eastAsia="仿宋" w:cs="仿宋"/>
                <w:color w:val="auto"/>
                <w:sz w:val="24"/>
                <w:szCs w:val="24"/>
                <w:highlight w:val="none"/>
                <w:lang w:val="en-US" w:eastAsia="zh-CN"/>
              </w:rPr>
            </w:pPr>
            <w:r>
              <w:rPr>
                <w:rFonts w:hint="default" w:ascii="仿宋" w:hAnsi="仿宋" w:eastAsia="仿宋" w:cs="仿宋"/>
                <w:color w:val="auto"/>
                <w:sz w:val="24"/>
                <w:szCs w:val="24"/>
                <w:highlight w:val="none"/>
                <w:lang w:val="en-US" w:eastAsia="zh-CN"/>
              </w:rPr>
              <w:t xml:space="preserve">研学旅游指导师 </w:t>
            </w:r>
          </w:p>
          <w:p w14:paraId="04B174EB">
            <w:pPr>
              <w:pStyle w:val="36"/>
              <w:spacing w:line="240" w:lineRule="auto"/>
              <w:ind w:firstLine="0" w:firstLineChars="0"/>
              <w:rPr>
                <w:rFonts w:hint="default" w:ascii="仿宋" w:hAnsi="仿宋" w:eastAsia="仿宋" w:cs="仿宋"/>
                <w:color w:val="auto"/>
                <w:sz w:val="24"/>
                <w:szCs w:val="24"/>
                <w:highlight w:val="none"/>
                <w:lang w:val="en-US" w:eastAsia="zh-CN"/>
              </w:rPr>
            </w:pPr>
            <w:r>
              <w:rPr>
                <w:rFonts w:hint="default" w:ascii="仿宋" w:hAnsi="仿宋" w:eastAsia="仿宋" w:cs="仿宋"/>
                <w:color w:val="auto"/>
                <w:sz w:val="24"/>
                <w:szCs w:val="24"/>
                <w:highlight w:val="none"/>
                <w:lang w:val="en-US" w:eastAsia="zh-CN"/>
              </w:rPr>
              <w:t>（4-13-04-04）</w:t>
            </w:r>
          </w:p>
          <w:p w14:paraId="39FD064C">
            <w:pPr>
              <w:pStyle w:val="36"/>
              <w:spacing w:line="240" w:lineRule="auto"/>
              <w:ind w:firstLine="0" w:firstLineChars="0"/>
              <w:rPr>
                <w:rFonts w:hint="default" w:ascii="仿宋" w:hAnsi="仿宋" w:eastAsia="仿宋" w:cs="仿宋"/>
                <w:color w:val="auto"/>
                <w:sz w:val="24"/>
                <w:szCs w:val="24"/>
                <w:highlight w:val="none"/>
                <w:lang w:val="en-US" w:eastAsia="zh-CN"/>
              </w:rPr>
            </w:pPr>
          </w:p>
        </w:tc>
        <w:tc>
          <w:tcPr>
            <w:tcW w:w="1242" w:type="dxa"/>
            <w:tcBorders>
              <w:top w:val="single" w:color="auto" w:sz="4" w:space="0"/>
              <w:left w:val="single" w:color="auto" w:sz="4" w:space="0"/>
              <w:right w:val="single" w:color="auto" w:sz="4" w:space="0"/>
            </w:tcBorders>
            <w:shd w:val="clear" w:color="auto" w:fill="auto"/>
            <w:vAlign w:val="center"/>
          </w:tcPr>
          <w:p w14:paraId="2E2378CA">
            <w:pPr>
              <w:pStyle w:val="36"/>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1.负责旅游服务与引导、旅游咨询解答、旅游团队管理以及旅游景点讲解。</w:t>
            </w:r>
          </w:p>
          <w:p w14:paraId="48196ED5">
            <w:pPr>
              <w:pStyle w:val="36"/>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2.负责旅游团队的全程管理、旅游咨询服务以及旅游安全指导。</w:t>
            </w:r>
          </w:p>
          <w:p w14:paraId="4D0F9289">
            <w:pPr>
              <w:pStyle w:val="36"/>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3.提供旅游咨询服务和进行旅游景点讲解。</w:t>
            </w:r>
          </w:p>
          <w:p w14:paraId="1F46E951">
            <w:pPr>
              <w:pStyle w:val="36"/>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4.研学课程设计与开发与研学活动组织与实施。</w:t>
            </w:r>
          </w:p>
          <w:p w14:paraId="3A9CBF1E">
            <w:pPr>
              <w:pStyle w:val="36"/>
              <w:spacing w:line="240" w:lineRule="auto"/>
              <w:ind w:firstLine="0" w:firstLineChars="0"/>
              <w:rPr>
                <w:rFonts w:hint="default" w:ascii="仿宋" w:hAnsi="仿宋" w:eastAsia="仿宋" w:cs="仿宋"/>
                <w:color w:val="auto"/>
                <w:sz w:val="24"/>
                <w:szCs w:val="24"/>
                <w:highlight w:val="none"/>
                <w:lang w:val="en-US"/>
              </w:rPr>
            </w:pPr>
          </w:p>
        </w:tc>
        <w:tc>
          <w:tcPr>
            <w:tcW w:w="4248" w:type="dxa"/>
            <w:tcBorders>
              <w:top w:val="single" w:color="auto" w:sz="4" w:space="0"/>
              <w:left w:val="single" w:color="auto" w:sz="4" w:space="0"/>
              <w:right w:val="single" w:color="auto" w:sz="4" w:space="0"/>
            </w:tcBorders>
            <w:vAlign w:val="center"/>
          </w:tcPr>
          <w:p w14:paraId="0FFDCB59">
            <w:pPr>
              <w:pStyle w:val="36"/>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掌握各类旅游产品的详细信息，包括行程安排、住宿、餐饮等；提供优质的客户服务，确保游客的旅行体验愉快；与游客、旅行社、酒店等多方进行有效沟通，解决旅行中可能出现的问题；应对旅行中的突发情况，确保游客安全；熟悉旅游目的地的文化、历史、风俗等，为游客提供丰富的背景知识。</w:t>
            </w:r>
          </w:p>
          <w:p w14:paraId="7FF184A4">
            <w:pPr>
              <w:pStyle w:val="36"/>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2.了解并遵守旅游行业的相关法律法规，确保团队运营合规；掌握安全知识和技能，保障团队成员的人身和财产安全；组织和协调团队活动，确保团队顺利运行。</w:t>
            </w:r>
          </w:p>
          <w:p w14:paraId="2AAD65DB">
            <w:pPr>
              <w:pStyle w:val="36"/>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3.提供详尽的旅游目的地信息，包括景点、交通、住宿等；了解市场需求，推广旅游产品，吸引游客。</w:t>
            </w:r>
          </w:p>
          <w:p w14:paraId="26FA42F3">
            <w:pPr>
              <w:pStyle w:val="36"/>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根据学生的年龄、学科需求、研学主题等，设计和开发具有针对性、趣味性、教育性的研学课程，包括课程目标、内容、教学方法、活动安排等；组织学生开展研学活动，包括实地考察、实验、讨论、文化体验等，确保活动的顺利进行，引导学生积极参与，达到研学目标。</w:t>
            </w:r>
          </w:p>
          <w:p w14:paraId="461BEED0">
            <w:pPr>
              <w:pStyle w:val="36"/>
              <w:spacing w:line="240" w:lineRule="auto"/>
              <w:ind w:firstLine="0" w:firstLineChars="0"/>
              <w:rPr>
                <w:rFonts w:hint="eastAsia" w:ascii="仿宋" w:hAnsi="仿宋" w:eastAsia="仿宋" w:cs="仿宋"/>
                <w:color w:val="auto"/>
                <w:sz w:val="24"/>
                <w:szCs w:val="24"/>
                <w:highlight w:val="none"/>
                <w:lang w:val="en-US" w:eastAsia="zh-CN"/>
              </w:rPr>
            </w:pPr>
          </w:p>
          <w:p w14:paraId="4CC603DF">
            <w:pPr>
              <w:pStyle w:val="36"/>
              <w:spacing w:line="240" w:lineRule="auto"/>
              <w:ind w:firstLine="0" w:firstLineChars="0"/>
              <w:rPr>
                <w:rFonts w:hint="eastAsia" w:ascii="仿宋" w:hAnsi="仿宋" w:eastAsia="仿宋" w:cs="仿宋"/>
                <w:color w:val="auto"/>
                <w:sz w:val="24"/>
                <w:szCs w:val="24"/>
                <w:highlight w:val="none"/>
                <w:lang w:val="en-US" w:eastAsia="zh-CN"/>
              </w:rPr>
            </w:pPr>
          </w:p>
        </w:tc>
        <w:tc>
          <w:tcPr>
            <w:tcW w:w="1044" w:type="dxa"/>
            <w:tcBorders>
              <w:top w:val="single" w:color="auto" w:sz="4" w:space="0"/>
              <w:left w:val="single" w:color="auto" w:sz="4" w:space="0"/>
              <w:right w:val="single" w:color="auto" w:sz="4" w:space="0"/>
            </w:tcBorders>
            <w:shd w:val="clear" w:color="auto" w:fill="auto"/>
            <w:vAlign w:val="top"/>
          </w:tcPr>
          <w:p w14:paraId="743895E6">
            <w:pPr>
              <w:keepNext w:val="0"/>
              <w:keepLines w:val="0"/>
              <w:widowControl/>
              <w:suppressLineNumbers w:val="0"/>
              <w:ind w:firstLine="480" w:firstLineChars="200"/>
              <w:jc w:val="left"/>
              <w:textAlignment w:val="top"/>
              <w:rPr>
                <w:rFonts w:hint="eastAsia" w:ascii="仿宋" w:hAnsi="仿宋" w:eastAsia="仿宋" w:cs="仿宋"/>
                <w:color w:val="auto"/>
                <w:sz w:val="24"/>
                <w:szCs w:val="24"/>
                <w:highlight w:val="none"/>
                <w:lang w:val="en-US"/>
              </w:rPr>
            </w:pPr>
            <w:r>
              <w:rPr>
                <w:rFonts w:hint="eastAsia" w:ascii="仿宋" w:hAnsi="仿宋" w:eastAsia="仿宋" w:cs="仿宋"/>
                <w:color w:val="auto"/>
                <w:kern w:val="2"/>
                <w:sz w:val="24"/>
                <w:szCs w:val="24"/>
                <w:highlight w:val="none"/>
                <w:lang w:val="en-US" w:eastAsia="zh-CN" w:bidi="zh-CN"/>
              </w:rPr>
              <w:t>旅游服务技能、沟通协调能、应急处理技能、课程设计能力、资源整合能力。</w:t>
            </w:r>
          </w:p>
        </w:tc>
        <w:tc>
          <w:tcPr>
            <w:tcW w:w="1710" w:type="dxa"/>
            <w:tcBorders>
              <w:top w:val="single" w:color="auto" w:sz="4" w:space="0"/>
              <w:left w:val="single" w:color="auto" w:sz="4" w:space="0"/>
              <w:bottom w:val="single" w:color="auto" w:sz="4" w:space="0"/>
              <w:right w:val="single" w:color="auto" w:sz="12" w:space="0"/>
            </w:tcBorders>
            <w:shd w:val="clear" w:color="auto" w:fill="auto"/>
            <w:vAlign w:val="top"/>
          </w:tcPr>
          <w:p w14:paraId="344358CB">
            <w:pPr>
              <w:keepNext w:val="0"/>
              <w:keepLines w:val="0"/>
              <w:widowControl/>
              <w:suppressLineNumbers w:val="0"/>
              <w:ind w:firstLine="480" w:firstLineChars="200"/>
              <w:jc w:val="left"/>
              <w:textAlignment w:val="top"/>
              <w:rPr>
                <w:rFonts w:hint="default" w:ascii="仿宋" w:hAnsi="仿宋" w:eastAsia="仿宋" w:cs="仿宋"/>
                <w:color w:val="auto"/>
                <w:sz w:val="24"/>
                <w:szCs w:val="24"/>
                <w:highlight w:val="none"/>
                <w:lang w:val="en-US" w:eastAsia="zh-CN"/>
              </w:rPr>
            </w:pPr>
            <w:r>
              <w:rPr>
                <w:rFonts w:hint="eastAsia" w:ascii="仿宋" w:hAnsi="仿宋" w:eastAsia="仿宋" w:cs="仿宋"/>
                <w:color w:val="auto"/>
                <w:kern w:val="2"/>
                <w:sz w:val="24"/>
                <w:szCs w:val="24"/>
                <w:highlight w:val="none"/>
                <w:lang w:val="en-US" w:eastAsia="zh-CN" w:bidi="zh-CN"/>
              </w:rPr>
              <w:t>掌握</w:t>
            </w:r>
            <w:r>
              <w:rPr>
                <w:rFonts w:hint="default" w:ascii="仿宋" w:hAnsi="仿宋" w:eastAsia="仿宋" w:cs="仿宋"/>
                <w:color w:val="auto"/>
                <w:kern w:val="2"/>
                <w:sz w:val="24"/>
                <w:szCs w:val="24"/>
                <w:highlight w:val="none"/>
                <w:lang w:val="en-US" w:eastAsia="zh-CN" w:bidi="zh-CN"/>
              </w:rPr>
              <w:t>旅游的概念、历史及种类</w:t>
            </w:r>
            <w:r>
              <w:rPr>
                <w:rFonts w:hint="eastAsia" w:ascii="仿宋" w:hAnsi="仿宋" w:eastAsia="仿宋" w:cs="仿宋"/>
                <w:color w:val="auto"/>
                <w:kern w:val="2"/>
                <w:sz w:val="24"/>
                <w:szCs w:val="24"/>
                <w:highlight w:val="none"/>
                <w:lang w:val="en-US" w:eastAsia="zh-CN" w:bidi="zh-CN"/>
              </w:rPr>
              <w:t>；</w:t>
            </w:r>
            <w:r>
              <w:rPr>
                <w:rFonts w:hint="default" w:ascii="仿宋" w:hAnsi="仿宋" w:eastAsia="仿宋" w:cs="仿宋"/>
                <w:color w:val="auto"/>
                <w:kern w:val="2"/>
                <w:sz w:val="24"/>
                <w:szCs w:val="24"/>
                <w:highlight w:val="none"/>
                <w:lang w:val="en-US" w:eastAsia="zh-CN" w:bidi="zh-CN"/>
              </w:rPr>
              <w:t>旅游业的性质、特点及构成；旅游业的经济、社会、文化和环境影响；旅游资源及其开发；旅游业发展规划；旅游业宏观管理，旅游政策与旅游法规专业知识</w:t>
            </w:r>
          </w:p>
        </w:tc>
      </w:tr>
    </w:tbl>
    <w:p w14:paraId="5AB0DE03">
      <w:pPr>
        <w:pStyle w:val="4"/>
        <w:ind w:firstLine="560"/>
      </w:pPr>
      <w:bookmarkStart w:id="26" w:name="_Toc20607"/>
      <w:r>
        <w:rPr>
          <w:rFonts w:hint="eastAsia"/>
        </w:rPr>
        <w:t>五、课程设计思路</w:t>
      </w:r>
      <w:bookmarkEnd w:id="24"/>
      <w:bookmarkEnd w:id="26"/>
    </w:p>
    <w:bookmarkEnd w:id="25"/>
    <w:p w14:paraId="72C12FE1">
      <w:pPr>
        <w:pStyle w:val="5"/>
        <w:bidi w:val="0"/>
        <w:rPr>
          <w:rFonts w:hint="eastAsia"/>
        </w:rPr>
      </w:pPr>
      <w:bookmarkStart w:id="27" w:name="_Toc7471"/>
      <w:bookmarkStart w:id="28" w:name="_Toc11466"/>
      <w:r>
        <w:rPr>
          <w:rFonts w:hint="eastAsia"/>
          <w:lang w:eastAsia="zh-CN"/>
        </w:rPr>
        <w:t>（</w:t>
      </w:r>
      <w:r>
        <w:rPr>
          <w:rFonts w:hint="eastAsia"/>
          <w:lang w:val="en-US" w:eastAsia="zh-CN"/>
        </w:rPr>
        <w:t>一</w:t>
      </w:r>
      <w:r>
        <w:rPr>
          <w:rFonts w:hint="eastAsia"/>
          <w:lang w:eastAsia="zh-CN"/>
        </w:rPr>
        <w:t>）</w:t>
      </w:r>
      <w:r>
        <w:rPr>
          <w:rFonts w:hint="eastAsia"/>
        </w:rPr>
        <w:t>教学路径</w:t>
      </w:r>
      <w:bookmarkEnd w:id="27"/>
    </w:p>
    <w:p w14:paraId="681F0A9E">
      <w:pPr>
        <w:bidi w:val="0"/>
        <w:rPr>
          <w:rFonts w:hint="eastAsia"/>
        </w:rPr>
      </w:pPr>
      <w:r>
        <w:rPr>
          <w:rFonts w:hint="eastAsia"/>
          <w:lang w:val="en-US" w:eastAsia="zh-CN"/>
        </w:rPr>
        <w:t>1.</w:t>
      </w:r>
      <w:r>
        <w:rPr>
          <w:rFonts w:hint="eastAsia"/>
        </w:rPr>
        <w:t>课程设计理念</w:t>
      </w:r>
    </w:p>
    <w:p w14:paraId="2E5E4697">
      <w:pPr>
        <w:bidi w:val="0"/>
        <w:rPr>
          <w:rFonts w:hint="eastAsia"/>
        </w:rPr>
      </w:pPr>
      <w:r>
        <w:rPr>
          <w:rFonts w:hint="eastAsia"/>
        </w:rPr>
        <w:t>以学生为中心，注重理论与实践相结合，通过</w:t>
      </w:r>
      <w:r>
        <w:rPr>
          <w:rFonts w:hint="eastAsia"/>
          <w:lang w:val="en-US" w:eastAsia="zh-CN"/>
        </w:rPr>
        <w:t>典型</w:t>
      </w:r>
      <w:r>
        <w:rPr>
          <w:rFonts w:hint="eastAsia"/>
        </w:rPr>
        <w:t>案例分析、</w:t>
      </w:r>
      <w:r>
        <w:rPr>
          <w:rFonts w:hint="eastAsia"/>
          <w:lang w:val="en-US" w:eastAsia="zh-CN"/>
        </w:rPr>
        <w:t>场景模拟</w:t>
      </w:r>
      <w:r>
        <w:rPr>
          <w:rFonts w:hint="eastAsia"/>
        </w:rPr>
        <w:t>、</w:t>
      </w:r>
      <w:r>
        <w:rPr>
          <w:rFonts w:hint="eastAsia"/>
          <w:lang w:val="en-US" w:eastAsia="zh-CN"/>
        </w:rPr>
        <w:t>团队协作</w:t>
      </w:r>
      <w:r>
        <w:rPr>
          <w:rFonts w:hint="eastAsia"/>
        </w:rPr>
        <w:t>等多种教学方法，培养学生的实践能力和创新思维。</w:t>
      </w:r>
    </w:p>
    <w:p w14:paraId="3295EAB0">
      <w:pPr>
        <w:bidi w:val="0"/>
        <w:rPr>
          <w:rFonts w:hint="eastAsia"/>
        </w:rPr>
      </w:pPr>
      <w:r>
        <w:rPr>
          <w:rFonts w:hint="eastAsia"/>
        </w:rPr>
        <w:t>教师在</w:t>
      </w:r>
      <w:r>
        <w:rPr>
          <w:rFonts w:hint="eastAsia"/>
          <w:lang w:val="en-US" w:eastAsia="zh-CN"/>
        </w:rPr>
        <w:t>学习</w:t>
      </w:r>
      <w:r>
        <w:rPr>
          <w:rFonts w:hint="eastAsia"/>
        </w:rPr>
        <w:t>探索过程中，应转变角色，成为学习的引导者和情境的创设者，帮助学生尝试解决问题的知识和方法，充分发挥学生的主体性和能动性。</w:t>
      </w:r>
    </w:p>
    <w:p w14:paraId="4AE361CE">
      <w:pPr>
        <w:bidi w:val="0"/>
        <w:rPr>
          <w:rFonts w:hint="eastAsia"/>
        </w:rPr>
      </w:pPr>
      <w:r>
        <w:rPr>
          <w:rFonts w:hint="eastAsia"/>
          <w:lang w:val="en-US" w:eastAsia="zh-CN"/>
        </w:rPr>
        <w:t>2.</w:t>
      </w:r>
      <w:r>
        <w:rPr>
          <w:rFonts w:hint="eastAsia"/>
        </w:rPr>
        <w:t>课程内容安排</w:t>
      </w:r>
    </w:p>
    <w:p w14:paraId="0CB8B9F2">
      <w:pPr>
        <w:bidi w:val="0"/>
        <w:rPr>
          <w:rFonts w:hint="eastAsia"/>
        </w:rPr>
      </w:pPr>
      <w:r>
        <w:rPr>
          <w:rFonts w:hint="eastAsia"/>
        </w:rPr>
        <w:t>课程内容</w:t>
      </w:r>
      <w:r>
        <w:rPr>
          <w:rFonts w:hint="eastAsia"/>
          <w:lang w:val="en-US" w:eastAsia="zh-CN"/>
        </w:rPr>
        <w:t>包含主要内容包括认知中国旅游地理、博览京畿物华胜迹一京华旅游大区、拾趣关东白山黑水一东北旅游大区、寻觅塞外丝路古迹一西北旅游大区、寻根华夏古都文明一华北旅游大区、体验高山峡谷风情一西南旅游大区、感悟两湖荆楚文化一华中旅游大区、漫游吴越诗画江南一华东旅游大区、领略岭南山海侨乡一华南旅游大区、探秘屋脊雪域藏乡--青藏旅游大区多个模块</w:t>
      </w:r>
      <w:r>
        <w:rPr>
          <w:rFonts w:hint="eastAsia"/>
        </w:rPr>
        <w:t>。</w:t>
      </w:r>
    </w:p>
    <w:p w14:paraId="527EFA8C">
      <w:pPr>
        <w:bidi w:val="0"/>
        <w:rPr>
          <w:rFonts w:hint="eastAsia"/>
          <w:lang w:val="en-US" w:eastAsia="zh-CN"/>
        </w:rPr>
      </w:pPr>
      <w:r>
        <w:rPr>
          <w:rFonts w:hint="eastAsia"/>
        </w:rPr>
        <w:t>教学内容贴近专业需求，</w:t>
      </w:r>
      <w:r>
        <w:rPr>
          <w:rFonts w:hint="eastAsia"/>
          <w:lang w:val="en-US" w:eastAsia="zh-CN"/>
        </w:rPr>
        <w:t>实践为主，理论为辅</w:t>
      </w:r>
      <w:r>
        <w:rPr>
          <w:rFonts w:hint="eastAsia"/>
        </w:rPr>
        <w:t>，用</w:t>
      </w:r>
      <w:r>
        <w:rPr>
          <w:rFonts w:hint="eastAsia"/>
          <w:lang w:val="en-US" w:eastAsia="zh-CN"/>
        </w:rPr>
        <w:t>真实</w:t>
      </w:r>
      <w:r>
        <w:rPr>
          <w:rFonts w:hint="eastAsia"/>
        </w:rPr>
        <w:t>案例说明问题，着重介绍与专业学习及日常</w:t>
      </w:r>
      <w:r>
        <w:rPr>
          <w:rFonts w:hint="eastAsia"/>
          <w:lang w:val="en-US" w:eastAsia="zh-CN"/>
        </w:rPr>
        <w:t>旅游</w:t>
      </w:r>
      <w:r>
        <w:rPr>
          <w:rFonts w:hint="eastAsia"/>
        </w:rPr>
        <w:t>生活联系密切的</w:t>
      </w:r>
      <w:r>
        <w:rPr>
          <w:rFonts w:hint="eastAsia"/>
          <w:lang w:val="en-US" w:eastAsia="zh-CN"/>
        </w:rPr>
        <w:t>问题。</w:t>
      </w:r>
    </w:p>
    <w:p w14:paraId="7F4E9470">
      <w:pPr>
        <w:bidi w:val="0"/>
        <w:rPr>
          <w:rFonts w:hint="eastAsia"/>
        </w:rPr>
      </w:pPr>
      <w:r>
        <w:rPr>
          <w:rFonts w:hint="eastAsia"/>
          <w:lang w:val="en-US" w:eastAsia="zh-CN"/>
        </w:rPr>
        <w:t>3.</w:t>
      </w:r>
      <w:r>
        <w:rPr>
          <w:rFonts w:hint="eastAsia"/>
        </w:rPr>
        <w:t>教学方法</w:t>
      </w:r>
    </w:p>
    <w:p w14:paraId="0E3D7DCA">
      <w:pPr>
        <w:bidi w:val="0"/>
        <w:rPr>
          <w:rFonts w:hint="eastAsia"/>
        </w:rPr>
      </w:pPr>
      <w:r>
        <w:rPr>
          <w:rFonts w:hint="eastAsia"/>
        </w:rPr>
        <w:t>采用讲授法、讨论法、案例分析法、项目实践法等多种教学方法，激发学生的学习兴趣，提高学生的主动性和参与度。</w:t>
      </w:r>
    </w:p>
    <w:p w14:paraId="0BAF3EA9">
      <w:pPr>
        <w:bidi w:val="0"/>
        <w:rPr>
          <w:rFonts w:hint="eastAsia"/>
        </w:rPr>
      </w:pPr>
      <w:r>
        <w:rPr>
          <w:rFonts w:hint="eastAsia"/>
        </w:rPr>
        <w:t>结合现实生活案例，使理论联系实际，提高学生</w:t>
      </w:r>
      <w:r>
        <w:rPr>
          <w:rFonts w:hint="eastAsia"/>
          <w:lang w:val="en-US" w:eastAsia="zh-CN"/>
        </w:rPr>
        <w:t>对本门课程的兴趣度和掌握力</w:t>
      </w:r>
      <w:r>
        <w:rPr>
          <w:rFonts w:hint="eastAsia"/>
        </w:rPr>
        <w:t>。</w:t>
      </w:r>
    </w:p>
    <w:p w14:paraId="3B7808AC">
      <w:pPr>
        <w:bidi w:val="0"/>
        <w:rPr>
          <w:rFonts w:hint="eastAsia"/>
        </w:rPr>
      </w:pPr>
      <w:r>
        <w:rPr>
          <w:rFonts w:hint="eastAsia"/>
          <w:lang w:val="en-US" w:eastAsia="zh-CN"/>
        </w:rPr>
        <w:t>4.</w:t>
      </w:r>
      <w:r>
        <w:rPr>
          <w:rFonts w:hint="eastAsia"/>
        </w:rPr>
        <w:t>教学进度</w:t>
      </w:r>
    </w:p>
    <w:p w14:paraId="1929E59E">
      <w:pPr>
        <w:bidi w:val="0"/>
        <w:rPr>
          <w:rFonts w:hint="eastAsia"/>
        </w:rPr>
      </w:pPr>
      <w:r>
        <w:rPr>
          <w:rFonts w:hint="eastAsia"/>
        </w:rPr>
        <w:t>课程通常按照教材章节顺序进行教学，每周安排一定的课时，确保学生有规律的学习时间。</w:t>
      </w:r>
    </w:p>
    <w:p w14:paraId="1696E1C2">
      <w:pPr>
        <w:bidi w:val="0"/>
        <w:rPr>
          <w:rFonts w:hint="eastAsia"/>
        </w:rPr>
      </w:pPr>
      <w:r>
        <w:rPr>
          <w:rFonts w:hint="eastAsia"/>
        </w:rPr>
        <w:t>在教学过程中，</w:t>
      </w:r>
      <w:r>
        <w:rPr>
          <w:rFonts w:hint="eastAsia"/>
          <w:lang w:val="en-US" w:eastAsia="zh-CN"/>
        </w:rPr>
        <w:t>注重理实搭配</w:t>
      </w:r>
      <w:r>
        <w:rPr>
          <w:rFonts w:hint="eastAsia"/>
        </w:rPr>
        <w:t>，确保理论与实践相结合。</w:t>
      </w:r>
    </w:p>
    <w:p w14:paraId="27EB13A1">
      <w:pPr>
        <w:pStyle w:val="5"/>
        <w:bidi w:val="0"/>
        <w:rPr>
          <w:rFonts w:hint="eastAsia"/>
        </w:rPr>
      </w:pPr>
      <w:bookmarkStart w:id="29" w:name="_Toc31255"/>
      <w:r>
        <w:rPr>
          <w:rFonts w:hint="eastAsia"/>
          <w:lang w:eastAsia="zh-CN"/>
        </w:rPr>
        <w:t>（</w:t>
      </w:r>
      <w:r>
        <w:rPr>
          <w:rFonts w:hint="eastAsia"/>
          <w:lang w:val="en-US" w:eastAsia="zh-CN"/>
        </w:rPr>
        <w:t>二</w:t>
      </w:r>
      <w:r>
        <w:rPr>
          <w:rFonts w:hint="eastAsia"/>
          <w:lang w:eastAsia="zh-CN"/>
        </w:rPr>
        <w:t>）</w:t>
      </w:r>
      <w:r>
        <w:rPr>
          <w:rFonts w:hint="eastAsia"/>
        </w:rPr>
        <w:t>教学评价</w:t>
      </w:r>
      <w:bookmarkEnd w:id="29"/>
    </w:p>
    <w:p w14:paraId="1B5A761E">
      <w:pPr>
        <w:bidi w:val="0"/>
        <w:rPr>
          <w:rFonts w:hint="eastAsia"/>
        </w:rPr>
      </w:pPr>
      <w:r>
        <w:rPr>
          <w:rFonts w:hint="eastAsia"/>
          <w:lang w:val="en-US" w:eastAsia="zh-CN"/>
        </w:rPr>
        <w:t>1.</w:t>
      </w:r>
      <w:r>
        <w:rPr>
          <w:rFonts w:hint="eastAsia"/>
        </w:rPr>
        <w:t>评价方式</w:t>
      </w:r>
    </w:p>
    <w:p w14:paraId="2BF13D9A">
      <w:pPr>
        <w:bidi w:val="0"/>
        <w:rPr>
          <w:rFonts w:hint="eastAsia"/>
        </w:rPr>
      </w:pPr>
      <w:r>
        <w:rPr>
          <w:rFonts w:hint="eastAsia"/>
        </w:rPr>
        <w:t>采用平时表现、</w:t>
      </w:r>
      <w:r>
        <w:rPr>
          <w:rFonts w:hint="eastAsia"/>
          <w:lang w:val="en-US" w:eastAsia="zh-CN"/>
        </w:rPr>
        <w:t>实践任务完成度</w:t>
      </w:r>
      <w:r>
        <w:rPr>
          <w:rFonts w:hint="eastAsia"/>
        </w:rPr>
        <w:t>、考试等多种评价方式，确保评价的客观性和全面性。</w:t>
      </w:r>
    </w:p>
    <w:p w14:paraId="0CF7C917">
      <w:pPr>
        <w:bidi w:val="0"/>
        <w:rPr>
          <w:rFonts w:hint="eastAsia"/>
        </w:rPr>
      </w:pPr>
      <w:r>
        <w:rPr>
          <w:rFonts w:hint="eastAsia"/>
        </w:rPr>
        <w:t>平时表现包括课堂出勤、课堂参与度、小组讨论表现等；作业包括</w:t>
      </w:r>
      <w:r>
        <w:rPr>
          <w:rFonts w:hint="eastAsia"/>
          <w:lang w:val="en-US" w:eastAsia="zh-CN"/>
        </w:rPr>
        <w:t>平台</w:t>
      </w:r>
      <w:r>
        <w:rPr>
          <w:rFonts w:hint="eastAsia"/>
        </w:rPr>
        <w:t>作业、实践报告等；考试包括期中考试和期末考试。</w:t>
      </w:r>
    </w:p>
    <w:p w14:paraId="35ED1B09">
      <w:pPr>
        <w:bidi w:val="0"/>
        <w:rPr>
          <w:rFonts w:hint="eastAsia"/>
        </w:rPr>
      </w:pPr>
      <w:r>
        <w:rPr>
          <w:rFonts w:hint="eastAsia"/>
          <w:lang w:val="en-US" w:eastAsia="zh-CN"/>
        </w:rPr>
        <w:t>2.</w:t>
      </w:r>
      <w:r>
        <w:rPr>
          <w:rFonts w:hint="eastAsia"/>
        </w:rPr>
        <w:t>评价反馈</w:t>
      </w:r>
    </w:p>
    <w:p w14:paraId="02862B31">
      <w:pPr>
        <w:bidi w:val="0"/>
        <w:rPr>
          <w:rFonts w:hint="eastAsia"/>
        </w:rPr>
      </w:pPr>
      <w:r>
        <w:rPr>
          <w:rFonts w:hint="eastAsia"/>
        </w:rPr>
        <w:t>评估标准要明确、公正，确保评估的客观性和有效性。</w:t>
      </w:r>
    </w:p>
    <w:p w14:paraId="35204749">
      <w:pPr>
        <w:bidi w:val="0"/>
        <w:rPr>
          <w:rFonts w:hint="eastAsia"/>
        </w:rPr>
      </w:pPr>
      <w:r>
        <w:rPr>
          <w:rFonts w:hint="eastAsia"/>
        </w:rPr>
        <w:t>评估结果要及时反馈给学生，以便他们了解自己的学习状况，调整学习方法和策略。</w:t>
      </w:r>
    </w:p>
    <w:p w14:paraId="2DEB3EC2">
      <w:pPr>
        <w:pStyle w:val="5"/>
        <w:bidi w:val="0"/>
        <w:rPr>
          <w:rFonts w:hint="eastAsia"/>
        </w:rPr>
      </w:pPr>
      <w:bookmarkStart w:id="30" w:name="_Toc2599"/>
      <w:r>
        <w:rPr>
          <w:rFonts w:hint="eastAsia"/>
          <w:lang w:eastAsia="zh-CN"/>
        </w:rPr>
        <w:t>（</w:t>
      </w:r>
      <w:r>
        <w:rPr>
          <w:rFonts w:hint="eastAsia"/>
          <w:lang w:val="en-US" w:eastAsia="zh-CN"/>
        </w:rPr>
        <w:t>三</w:t>
      </w:r>
      <w:r>
        <w:rPr>
          <w:rFonts w:hint="eastAsia"/>
          <w:lang w:eastAsia="zh-CN"/>
        </w:rPr>
        <w:t>）</w:t>
      </w:r>
      <w:r>
        <w:rPr>
          <w:rFonts w:hint="eastAsia"/>
        </w:rPr>
        <w:t>课程思政</w:t>
      </w:r>
      <w:bookmarkEnd w:id="30"/>
    </w:p>
    <w:p w14:paraId="2BC111EB">
      <w:pPr>
        <w:bidi w:val="0"/>
        <w:rPr>
          <w:rFonts w:hint="eastAsia"/>
        </w:rPr>
      </w:pPr>
      <w:r>
        <w:rPr>
          <w:rFonts w:hint="eastAsia"/>
          <w:lang w:val="en-US" w:eastAsia="zh-CN"/>
        </w:rPr>
        <w:t>1.</w:t>
      </w:r>
      <w:r>
        <w:rPr>
          <w:rFonts w:hint="eastAsia"/>
        </w:rPr>
        <w:t>思政融入理念</w:t>
      </w:r>
    </w:p>
    <w:p w14:paraId="4C90A95F">
      <w:pPr>
        <w:bidi w:val="0"/>
        <w:rPr>
          <w:rFonts w:hint="eastAsia"/>
        </w:rPr>
      </w:pPr>
      <w:r>
        <w:rPr>
          <w:rFonts w:hint="eastAsia"/>
        </w:rPr>
        <w:t>课程思政是一种教育教学理念，强调将思想政治教育融入高校每门课程教育教学的全过程，坚持知识传授与价值引领相结合。</w:t>
      </w:r>
    </w:p>
    <w:p w14:paraId="02833427">
      <w:pPr>
        <w:bidi w:val="0"/>
        <w:rPr>
          <w:rFonts w:hint="eastAsia"/>
        </w:rPr>
      </w:pPr>
      <w:r>
        <w:rPr>
          <w:rFonts w:hint="eastAsia"/>
          <w:lang w:val="en-US" w:eastAsia="zh-CN"/>
        </w:rPr>
        <w:t>2.</w:t>
      </w:r>
      <w:r>
        <w:rPr>
          <w:rFonts w:hint="eastAsia"/>
        </w:rPr>
        <w:t>思政融入方法</w:t>
      </w:r>
    </w:p>
    <w:p w14:paraId="6A272BE0">
      <w:pPr>
        <w:bidi w:val="0"/>
        <w:rPr>
          <w:rFonts w:hint="eastAsia"/>
        </w:rPr>
      </w:pPr>
      <w:r>
        <w:rPr>
          <w:rFonts w:hint="eastAsia"/>
        </w:rPr>
        <w:t>结合</w:t>
      </w:r>
      <w:r>
        <w:rPr>
          <w:rFonts w:hint="eastAsia"/>
          <w:lang w:val="en-US" w:eastAsia="zh-CN"/>
        </w:rPr>
        <w:t>旅游管理</w:t>
      </w:r>
      <w:r>
        <w:rPr>
          <w:rFonts w:hint="eastAsia"/>
        </w:rPr>
        <w:t>学专业知识，精炼符合“三新”标准的思政题材和内容（新素材、新理念、新视角），实现师生情感上的“三共”（共鸣、共情、共振）。</w:t>
      </w:r>
    </w:p>
    <w:p w14:paraId="3F90E2EB">
      <w:pPr>
        <w:bidi w:val="0"/>
        <w:rPr>
          <w:rFonts w:hint="eastAsia"/>
        </w:rPr>
      </w:pPr>
      <w:r>
        <w:rPr>
          <w:rFonts w:hint="eastAsia"/>
        </w:rPr>
        <w:t>通过</w:t>
      </w:r>
      <w:r>
        <w:rPr>
          <w:rFonts w:hint="eastAsia"/>
          <w:lang w:val="en-US" w:eastAsia="zh-CN"/>
        </w:rPr>
        <w:t>典型</w:t>
      </w:r>
      <w:r>
        <w:rPr>
          <w:rFonts w:hint="eastAsia"/>
        </w:rPr>
        <w:t>案例</w:t>
      </w:r>
      <w:r>
        <w:rPr>
          <w:rFonts w:hint="eastAsia"/>
          <w:lang w:val="en-US" w:eastAsia="zh-CN"/>
        </w:rPr>
        <w:t>分析</w:t>
      </w:r>
      <w:r>
        <w:rPr>
          <w:rFonts w:hint="eastAsia"/>
        </w:rPr>
        <w:t>、讨论式教学和情景教学等方法，将思政元素融入</w:t>
      </w:r>
      <w:r>
        <w:rPr>
          <w:rFonts w:hint="eastAsia"/>
          <w:lang w:val="en-US" w:eastAsia="zh-CN"/>
        </w:rPr>
        <w:t>课程</w:t>
      </w:r>
      <w:r>
        <w:rPr>
          <w:rFonts w:hint="eastAsia"/>
        </w:rPr>
        <w:t>教学中，激发学生的学习兴趣，培养学生的</w:t>
      </w:r>
      <w:r>
        <w:rPr>
          <w:rFonts w:hint="eastAsia"/>
          <w:lang w:val="en-US" w:eastAsia="zh-CN"/>
        </w:rPr>
        <w:t>社会责任感和职业道德</w:t>
      </w:r>
      <w:r>
        <w:rPr>
          <w:rFonts w:hint="eastAsia"/>
        </w:rPr>
        <w:t>。</w:t>
      </w:r>
    </w:p>
    <w:p w14:paraId="4CA2F27F">
      <w:pPr>
        <w:bidi w:val="0"/>
        <w:rPr>
          <w:rFonts w:hint="eastAsia"/>
        </w:rPr>
      </w:pPr>
      <w:r>
        <w:rPr>
          <w:rFonts w:hint="eastAsia"/>
          <w:lang w:val="en-US" w:eastAsia="zh-CN"/>
        </w:rPr>
        <w:t>3.</w:t>
      </w:r>
      <w:r>
        <w:rPr>
          <w:rFonts w:hint="eastAsia"/>
        </w:rPr>
        <w:t>思政融入内容</w:t>
      </w:r>
    </w:p>
    <w:p w14:paraId="3A431342">
      <w:pPr>
        <w:widowControl/>
        <w:spacing w:line="240" w:lineRule="auto"/>
        <w:ind w:left="0" w:leftChars="0" w:firstLine="0" w:firstLineChars="0"/>
        <w:rPr>
          <w:rFonts w:hint="eastAsia"/>
        </w:rPr>
      </w:pPr>
      <w:r>
        <w:rPr>
          <w:rFonts w:hint="eastAsia"/>
        </w:rPr>
        <w:t>深入挖掘课程思政元素，将爱国主义情怀、生态文明意识、科技创新意识、社会主义核心价值观以及法治意识等融入教学内容。例如，在介绍中国旅游资源地理时，我们</w:t>
      </w:r>
      <w:r>
        <w:rPr>
          <w:rFonts w:hint="eastAsia"/>
          <w:lang w:val="en-US" w:eastAsia="zh-CN"/>
        </w:rPr>
        <w:t>列举实际案例</w:t>
      </w:r>
      <w:r>
        <w:rPr>
          <w:rFonts w:hint="eastAsia"/>
        </w:rPr>
        <w:t>，展示中国文旅的创新和发展成就，增强学生的国家自豪感。</w:t>
      </w:r>
    </w:p>
    <w:p w14:paraId="6B9FECA5">
      <w:pPr>
        <w:pStyle w:val="4"/>
        <w:bidi w:val="0"/>
      </w:pPr>
      <w:bookmarkStart w:id="31" w:name="_Toc22160"/>
      <w:r>
        <w:rPr>
          <w:rFonts w:hint="eastAsia"/>
        </w:rPr>
        <w:t>六、课程结构与内容</w:t>
      </w:r>
      <w:bookmarkEnd w:id="28"/>
      <w:bookmarkEnd w:id="31"/>
      <w:bookmarkStart w:id="32" w:name="_Toc19213"/>
      <w:bookmarkStart w:id="33" w:name="_Toc7467"/>
    </w:p>
    <w:p w14:paraId="1FA0ADB1">
      <w:pPr>
        <w:ind w:firstLine="480"/>
        <w:jc w:val="center"/>
        <w:rPr>
          <w:rFonts w:ascii="仿宋_GB2312" w:hAnsi="仿宋_GB2312" w:cs="仿宋_GB2312"/>
          <w:b/>
          <w:bCs/>
          <w:sz w:val="24"/>
          <w:szCs w:val="21"/>
          <w:highlight w:val="yellow"/>
        </w:rPr>
      </w:pPr>
      <w:r>
        <w:rPr>
          <w:rFonts w:hint="eastAsia" w:ascii="仿宋_GB2312" w:hAnsi="仿宋_GB2312" w:cs="仿宋_GB2312"/>
          <w:b/>
          <w:bCs/>
          <w:sz w:val="24"/>
          <w:szCs w:val="21"/>
        </w:rPr>
        <w:t xml:space="preserve">表3. </w:t>
      </w:r>
      <w:r>
        <w:rPr>
          <w:rFonts w:hint="eastAsia" w:ascii="仿宋_GB2312" w:hAnsi="仿宋_GB2312" w:cs="仿宋_GB2312"/>
          <w:b/>
          <w:bCs/>
          <w:sz w:val="24"/>
          <w:szCs w:val="21"/>
          <w:highlight w:val="none"/>
        </w:rPr>
        <w:t>课程设计方案</w:t>
      </w:r>
      <w:bookmarkEnd w:id="32"/>
      <w:bookmarkEnd w:id="33"/>
    </w:p>
    <w:tbl>
      <w:tblPr>
        <w:tblStyle w:val="18"/>
        <w:tblW w:w="9174" w:type="dxa"/>
        <w:tblInd w:w="4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0"/>
        <w:gridCol w:w="811"/>
        <w:gridCol w:w="971"/>
        <w:gridCol w:w="1671"/>
        <w:gridCol w:w="987"/>
        <w:gridCol w:w="3280"/>
        <w:gridCol w:w="462"/>
        <w:gridCol w:w="462"/>
      </w:tblGrid>
      <w:tr w14:paraId="2FCF6B8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530" w:type="dxa"/>
            <w:vMerge w:val="restart"/>
            <w:tcBorders>
              <w:tl2br w:val="nil"/>
              <w:tr2bl w:val="nil"/>
            </w:tcBorders>
            <w:vAlign w:val="center"/>
          </w:tcPr>
          <w:p w14:paraId="6EE36080">
            <w:pPr>
              <w:spacing w:line="240" w:lineRule="auto"/>
              <w:ind w:firstLine="0" w:firstLineChars="0"/>
              <w:jc w:val="both"/>
              <w:rPr>
                <w:rFonts w:hint="eastAsia" w:ascii="仿宋" w:hAnsi="仿宋" w:eastAsia="仿宋" w:cs="仿宋"/>
                <w:b/>
                <w:bCs/>
                <w:sz w:val="24"/>
                <w:szCs w:val="24"/>
              </w:rPr>
            </w:pPr>
            <w:r>
              <w:rPr>
                <w:rFonts w:hint="eastAsia" w:ascii="仿宋" w:hAnsi="仿宋" w:eastAsia="仿宋" w:cs="仿宋"/>
                <w:b/>
                <w:bCs/>
                <w:sz w:val="24"/>
                <w:szCs w:val="24"/>
              </w:rPr>
              <w:t>序号</w:t>
            </w:r>
          </w:p>
        </w:tc>
        <w:tc>
          <w:tcPr>
            <w:tcW w:w="811" w:type="dxa"/>
            <w:vMerge w:val="restart"/>
            <w:tcBorders>
              <w:tl2br w:val="nil"/>
              <w:tr2bl w:val="nil"/>
            </w:tcBorders>
            <w:vAlign w:val="center"/>
          </w:tcPr>
          <w:p w14:paraId="48F3DB54">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2A694AC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971" w:type="dxa"/>
            <w:vMerge w:val="restart"/>
            <w:tcBorders>
              <w:tl2br w:val="nil"/>
              <w:tr2bl w:val="nil"/>
            </w:tcBorders>
            <w:vAlign w:val="center"/>
          </w:tcPr>
          <w:p w14:paraId="14E34796">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1671" w:type="dxa"/>
            <w:vMerge w:val="restart"/>
            <w:tcBorders>
              <w:tl2br w:val="nil"/>
              <w:tr2bl w:val="nil"/>
            </w:tcBorders>
            <w:vAlign w:val="center"/>
          </w:tcPr>
          <w:p w14:paraId="4ACFA94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学习内容</w:t>
            </w:r>
          </w:p>
          <w:p w14:paraId="5F2770A3">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和要求</w:t>
            </w:r>
          </w:p>
        </w:tc>
        <w:tc>
          <w:tcPr>
            <w:tcW w:w="987" w:type="dxa"/>
            <w:vMerge w:val="restart"/>
            <w:tcBorders>
              <w:tl2br w:val="nil"/>
              <w:tr2bl w:val="nil"/>
            </w:tcBorders>
            <w:vAlign w:val="center"/>
          </w:tcPr>
          <w:p w14:paraId="7E4FD7E5">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教学</w:t>
            </w:r>
          </w:p>
          <w:p w14:paraId="549DC77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设计</w:t>
            </w:r>
          </w:p>
        </w:tc>
        <w:tc>
          <w:tcPr>
            <w:tcW w:w="3280" w:type="dxa"/>
            <w:vMerge w:val="restart"/>
            <w:tcBorders>
              <w:tl2br w:val="nil"/>
              <w:tr2bl w:val="nil"/>
            </w:tcBorders>
            <w:vAlign w:val="center"/>
          </w:tcPr>
          <w:p w14:paraId="3E77EF9F">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课程思政设计</w:t>
            </w:r>
          </w:p>
        </w:tc>
        <w:tc>
          <w:tcPr>
            <w:tcW w:w="924" w:type="dxa"/>
            <w:gridSpan w:val="2"/>
            <w:tcBorders>
              <w:tl2br w:val="nil"/>
              <w:tr2bl w:val="nil"/>
            </w:tcBorders>
            <w:vAlign w:val="center"/>
          </w:tcPr>
          <w:p w14:paraId="2B349CEE">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学时</w:t>
            </w:r>
          </w:p>
        </w:tc>
      </w:tr>
      <w:tr w14:paraId="660AF7F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530" w:type="dxa"/>
            <w:vMerge w:val="continue"/>
            <w:tcBorders>
              <w:tl2br w:val="nil"/>
              <w:tr2bl w:val="nil"/>
            </w:tcBorders>
            <w:vAlign w:val="center"/>
          </w:tcPr>
          <w:p w14:paraId="160EFF72">
            <w:pPr>
              <w:spacing w:line="240" w:lineRule="auto"/>
              <w:ind w:firstLine="0" w:firstLineChars="0"/>
              <w:jc w:val="both"/>
              <w:rPr>
                <w:rFonts w:hint="eastAsia" w:ascii="仿宋" w:hAnsi="仿宋" w:eastAsia="仿宋" w:cs="仿宋"/>
                <w:b/>
                <w:bCs/>
                <w:sz w:val="24"/>
                <w:szCs w:val="24"/>
              </w:rPr>
            </w:pPr>
          </w:p>
        </w:tc>
        <w:tc>
          <w:tcPr>
            <w:tcW w:w="811" w:type="dxa"/>
            <w:vMerge w:val="continue"/>
            <w:tcBorders>
              <w:tl2br w:val="nil"/>
              <w:tr2bl w:val="nil"/>
            </w:tcBorders>
            <w:vAlign w:val="center"/>
          </w:tcPr>
          <w:p w14:paraId="19FCFE00">
            <w:pPr>
              <w:spacing w:line="240" w:lineRule="auto"/>
              <w:ind w:firstLine="0" w:firstLineChars="0"/>
              <w:jc w:val="center"/>
              <w:rPr>
                <w:rFonts w:hint="eastAsia" w:ascii="仿宋" w:hAnsi="仿宋" w:eastAsia="仿宋" w:cs="仿宋"/>
                <w:b/>
                <w:bCs/>
                <w:sz w:val="24"/>
                <w:szCs w:val="24"/>
              </w:rPr>
            </w:pPr>
          </w:p>
        </w:tc>
        <w:tc>
          <w:tcPr>
            <w:tcW w:w="971" w:type="dxa"/>
            <w:vMerge w:val="continue"/>
            <w:tcBorders>
              <w:tl2br w:val="nil"/>
              <w:tr2bl w:val="nil"/>
            </w:tcBorders>
            <w:vAlign w:val="center"/>
          </w:tcPr>
          <w:p w14:paraId="4E972009">
            <w:pPr>
              <w:spacing w:line="240" w:lineRule="auto"/>
              <w:ind w:firstLine="0" w:firstLineChars="0"/>
              <w:jc w:val="center"/>
              <w:rPr>
                <w:rFonts w:hint="eastAsia" w:ascii="仿宋" w:hAnsi="仿宋" w:eastAsia="仿宋" w:cs="仿宋"/>
                <w:b/>
                <w:bCs/>
                <w:sz w:val="24"/>
                <w:szCs w:val="24"/>
              </w:rPr>
            </w:pPr>
          </w:p>
        </w:tc>
        <w:tc>
          <w:tcPr>
            <w:tcW w:w="1671" w:type="dxa"/>
            <w:vMerge w:val="continue"/>
            <w:tcBorders>
              <w:tl2br w:val="nil"/>
              <w:tr2bl w:val="nil"/>
            </w:tcBorders>
            <w:vAlign w:val="center"/>
          </w:tcPr>
          <w:p w14:paraId="27BAFA08">
            <w:pPr>
              <w:spacing w:line="240" w:lineRule="auto"/>
              <w:ind w:firstLine="0" w:firstLineChars="0"/>
              <w:jc w:val="center"/>
              <w:rPr>
                <w:rFonts w:hint="eastAsia" w:ascii="仿宋" w:hAnsi="仿宋" w:eastAsia="仿宋" w:cs="仿宋"/>
                <w:b/>
                <w:bCs/>
                <w:sz w:val="24"/>
                <w:szCs w:val="24"/>
              </w:rPr>
            </w:pPr>
          </w:p>
        </w:tc>
        <w:tc>
          <w:tcPr>
            <w:tcW w:w="987" w:type="dxa"/>
            <w:vMerge w:val="continue"/>
            <w:tcBorders>
              <w:tl2br w:val="nil"/>
              <w:tr2bl w:val="nil"/>
            </w:tcBorders>
            <w:vAlign w:val="center"/>
          </w:tcPr>
          <w:p w14:paraId="2C7A5002">
            <w:pPr>
              <w:spacing w:line="240" w:lineRule="auto"/>
              <w:ind w:firstLine="0" w:firstLineChars="0"/>
              <w:jc w:val="center"/>
              <w:rPr>
                <w:rFonts w:hint="eastAsia" w:ascii="仿宋" w:hAnsi="仿宋" w:eastAsia="仿宋" w:cs="仿宋"/>
                <w:b/>
                <w:bCs/>
                <w:sz w:val="24"/>
                <w:szCs w:val="24"/>
              </w:rPr>
            </w:pPr>
          </w:p>
        </w:tc>
        <w:tc>
          <w:tcPr>
            <w:tcW w:w="3280" w:type="dxa"/>
            <w:vMerge w:val="continue"/>
            <w:tcBorders>
              <w:tl2br w:val="nil"/>
              <w:tr2bl w:val="nil"/>
            </w:tcBorders>
            <w:vAlign w:val="center"/>
          </w:tcPr>
          <w:p w14:paraId="43D52CA2">
            <w:pPr>
              <w:spacing w:line="240" w:lineRule="auto"/>
              <w:ind w:firstLine="0" w:firstLineChars="0"/>
              <w:jc w:val="center"/>
              <w:rPr>
                <w:rFonts w:hint="eastAsia" w:ascii="仿宋" w:hAnsi="仿宋" w:eastAsia="仿宋" w:cs="仿宋"/>
                <w:b/>
                <w:bCs/>
                <w:sz w:val="24"/>
                <w:szCs w:val="24"/>
              </w:rPr>
            </w:pPr>
          </w:p>
        </w:tc>
        <w:tc>
          <w:tcPr>
            <w:tcW w:w="462" w:type="dxa"/>
            <w:tcBorders>
              <w:tl2br w:val="nil"/>
              <w:tr2bl w:val="nil"/>
            </w:tcBorders>
            <w:vAlign w:val="center"/>
          </w:tcPr>
          <w:p w14:paraId="44D18BA4">
            <w:pPr>
              <w:spacing w:line="240" w:lineRule="auto"/>
              <w:ind w:firstLine="0" w:firstLineChars="0"/>
              <w:jc w:val="center"/>
              <w:rPr>
                <w:rFonts w:hint="default" w:ascii="仿宋" w:hAnsi="仿宋" w:eastAsia="仿宋" w:cs="仿宋"/>
                <w:b/>
                <w:bCs/>
                <w:sz w:val="24"/>
                <w:szCs w:val="24"/>
                <w:lang w:val="en-US" w:eastAsia="zh-CN"/>
              </w:rPr>
            </w:pPr>
            <w:r>
              <w:rPr>
                <w:rFonts w:hint="eastAsia" w:ascii="仿宋" w:hAnsi="仿宋" w:eastAsia="仿宋" w:cs="仿宋"/>
                <w:b/>
                <w:bCs/>
                <w:sz w:val="24"/>
                <w:szCs w:val="24"/>
                <w:lang w:val="en-US" w:eastAsia="zh-CN"/>
              </w:rPr>
              <w:t>理论</w:t>
            </w:r>
          </w:p>
        </w:tc>
        <w:tc>
          <w:tcPr>
            <w:tcW w:w="462" w:type="dxa"/>
            <w:tcBorders>
              <w:tl2br w:val="nil"/>
              <w:tr2bl w:val="nil"/>
            </w:tcBorders>
            <w:vAlign w:val="center"/>
          </w:tcPr>
          <w:p w14:paraId="5BC08F18">
            <w:pPr>
              <w:spacing w:line="240" w:lineRule="auto"/>
              <w:ind w:firstLine="0" w:firstLineChars="0"/>
              <w:jc w:val="center"/>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实操</w:t>
            </w:r>
          </w:p>
        </w:tc>
      </w:tr>
      <w:tr w14:paraId="09467B0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28" w:hRule="atLeast"/>
        </w:trPr>
        <w:tc>
          <w:tcPr>
            <w:tcW w:w="530" w:type="dxa"/>
            <w:tcBorders>
              <w:tl2br w:val="nil"/>
              <w:tr2bl w:val="nil"/>
            </w:tcBorders>
            <w:vAlign w:val="center"/>
          </w:tcPr>
          <w:p w14:paraId="708B6FC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rPr>
              <w:t>1</w:t>
            </w:r>
          </w:p>
        </w:tc>
        <w:tc>
          <w:tcPr>
            <w:tcW w:w="811" w:type="dxa"/>
            <w:tcBorders>
              <w:tl2br w:val="nil"/>
              <w:tr2bl w:val="nil"/>
            </w:tcBorders>
            <w:vAlign w:val="center"/>
          </w:tcPr>
          <w:p w14:paraId="4C036BE5">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模块一  认知中国旅游地理</w:t>
            </w:r>
          </w:p>
        </w:tc>
        <w:tc>
          <w:tcPr>
            <w:tcW w:w="971" w:type="dxa"/>
            <w:tcBorders>
              <w:tl2br w:val="nil"/>
              <w:tr2bl w:val="nil"/>
            </w:tcBorders>
            <w:vAlign w:val="top"/>
          </w:tcPr>
          <w:p w14:paraId="1F99C591">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掌握旅游地理学的基本概念和中国旅游地理的基本知识体系</w:t>
            </w:r>
          </w:p>
        </w:tc>
        <w:tc>
          <w:tcPr>
            <w:tcW w:w="1671" w:type="dxa"/>
            <w:tcBorders>
              <w:tl2br w:val="nil"/>
              <w:tr2bl w:val="nil"/>
            </w:tcBorders>
            <w:vAlign w:val="top"/>
          </w:tcPr>
          <w:p w14:paraId="72AC6018">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学习旅游地理学的定义、研究对象和方法；了解中国旅游地理的发展概况和基本知识体系。</w:t>
            </w:r>
          </w:p>
        </w:tc>
        <w:tc>
          <w:tcPr>
            <w:tcW w:w="987" w:type="dxa"/>
            <w:tcBorders>
              <w:tl2br w:val="nil"/>
              <w:tr2bl w:val="nil"/>
            </w:tcBorders>
            <w:vAlign w:val="center"/>
          </w:tcPr>
          <w:p w14:paraId="1E5D1665">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28C3B163">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5814894D">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484F3A03">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280" w:type="dxa"/>
            <w:tcBorders>
              <w:tl2br w:val="nil"/>
              <w:tr2bl w:val="nil"/>
            </w:tcBorders>
            <w:vAlign w:val="top"/>
          </w:tcPr>
          <w:p w14:paraId="76871CC5">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6F24FFCD">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bidi="ar-SA"/>
              </w:rPr>
            </w:pPr>
            <w:r>
              <w:rPr>
                <w:rFonts w:hint="eastAsia" w:ascii="仿宋" w:hAnsi="仿宋" w:eastAsia="仿宋" w:cs="仿宋"/>
                <w:kern w:val="0"/>
                <w:sz w:val="24"/>
                <w:szCs w:val="24"/>
                <w:lang w:val="en-US" w:eastAsia="zh-CN"/>
              </w:rPr>
              <w:t>通过分析旅行社在地方经济发展中的作用，培养学生的家国情怀，引导学生理解企业社会责任与国家发展相结合的重要性。结合传统文化中“诚信为本”的理念，强调旅行社经营中的诚信服务和客户至上原则，提升学生的道德素养。</w:t>
            </w:r>
          </w:p>
        </w:tc>
        <w:tc>
          <w:tcPr>
            <w:tcW w:w="462" w:type="dxa"/>
            <w:tcBorders>
              <w:tl2br w:val="nil"/>
              <w:tr2bl w:val="nil"/>
            </w:tcBorders>
            <w:vAlign w:val="center"/>
          </w:tcPr>
          <w:p w14:paraId="67A99F2F">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462" w:type="dxa"/>
            <w:tcBorders>
              <w:tl2br w:val="nil"/>
              <w:tr2bl w:val="nil"/>
            </w:tcBorders>
            <w:vAlign w:val="center"/>
          </w:tcPr>
          <w:p w14:paraId="12FB208D">
            <w:pPr>
              <w:spacing w:line="240" w:lineRule="auto"/>
              <w:ind w:firstLine="0" w:firstLineChars="0"/>
              <w:jc w:val="center"/>
              <w:rPr>
                <w:rFonts w:hint="eastAsia" w:ascii="仿宋" w:hAnsi="仿宋" w:eastAsia="仿宋" w:cs="仿宋"/>
                <w:sz w:val="24"/>
                <w:szCs w:val="24"/>
                <w:lang w:val="en-US" w:eastAsia="zh-CN"/>
              </w:rPr>
            </w:pPr>
          </w:p>
        </w:tc>
      </w:tr>
      <w:tr w14:paraId="7457A43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62" w:hRule="atLeast"/>
        </w:trPr>
        <w:tc>
          <w:tcPr>
            <w:tcW w:w="530" w:type="dxa"/>
            <w:tcBorders>
              <w:tl2br w:val="nil"/>
              <w:tr2bl w:val="nil"/>
            </w:tcBorders>
            <w:vAlign w:val="center"/>
          </w:tcPr>
          <w:p w14:paraId="4B957732">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811" w:type="dxa"/>
            <w:tcBorders>
              <w:tl2br w:val="nil"/>
              <w:tr2bl w:val="nil"/>
            </w:tcBorders>
            <w:vAlign w:val="center"/>
          </w:tcPr>
          <w:p w14:paraId="6746105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 xml:space="preserve">模块二  </w:t>
            </w:r>
            <w:r>
              <w:rPr>
                <w:rFonts w:hint="eastAsia" w:ascii="仿宋" w:hAnsi="仿宋" w:eastAsia="仿宋" w:cs="仿宋"/>
                <w:kern w:val="0"/>
                <w:sz w:val="24"/>
                <w:szCs w:val="24"/>
                <w:lang w:val="en-US" w:eastAsia="zh-CN" w:bidi="ar-SA"/>
              </w:rPr>
              <w:t>博览京畿物华胜迹一京华旅游大区</w:t>
            </w:r>
          </w:p>
        </w:tc>
        <w:tc>
          <w:tcPr>
            <w:tcW w:w="971" w:type="dxa"/>
            <w:tcBorders>
              <w:tl2br w:val="nil"/>
              <w:tr2bl w:val="nil"/>
            </w:tcBorders>
            <w:vAlign w:val="top"/>
          </w:tcPr>
          <w:p w14:paraId="097EF7EF">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熟悉京华旅游大区的地理环境、旅游资源特征和主要旅游线路</w:t>
            </w:r>
          </w:p>
        </w:tc>
        <w:tc>
          <w:tcPr>
            <w:tcW w:w="1671" w:type="dxa"/>
            <w:tcBorders>
              <w:tl2br w:val="nil"/>
              <w:tr2bl w:val="nil"/>
            </w:tcBorders>
            <w:vAlign w:val="top"/>
          </w:tcPr>
          <w:p w14:paraId="0A22B564">
            <w:pPr>
              <w:keepNext w:val="0"/>
              <w:keepLines w:val="0"/>
              <w:suppressLineNumbers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学习京华旅游大区的地理位置、范围、地理环境特征；掌握该区域的主要旅游资源类型、分布和特征；了解京华旅游大区的主要旅游线路和旅游产品</w:t>
            </w:r>
            <w:r>
              <w:rPr>
                <w:rFonts w:hint="eastAsia" w:ascii="仿宋" w:hAnsi="仿宋" w:eastAsia="仿宋" w:cs="仿宋"/>
                <w:kern w:val="0"/>
                <w:sz w:val="24"/>
                <w:szCs w:val="24"/>
                <w:lang w:val="en-US" w:eastAsia="zh-CN"/>
              </w:rPr>
              <w:t>。</w:t>
            </w:r>
          </w:p>
        </w:tc>
        <w:tc>
          <w:tcPr>
            <w:tcW w:w="987" w:type="dxa"/>
            <w:tcBorders>
              <w:tl2br w:val="nil"/>
              <w:tr2bl w:val="nil"/>
            </w:tcBorders>
            <w:vAlign w:val="center"/>
          </w:tcPr>
          <w:p w14:paraId="5B87BD28">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3034999D">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1AB0402E">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599C202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280" w:type="dxa"/>
            <w:tcBorders>
              <w:tl2br w:val="nil"/>
              <w:tr2bl w:val="nil"/>
            </w:tcBorders>
            <w:vAlign w:val="top"/>
          </w:tcPr>
          <w:p w14:paraId="2CB42F6F">
            <w:pPr>
              <w:widowControl/>
              <w:spacing w:line="240" w:lineRule="auto"/>
              <w:ind w:left="0" w:leftChars="0" w:firstLine="0" w:firstLineChars="0"/>
              <w:rPr>
                <w:rFonts w:hint="default" w:ascii="PingFangSC-Regular" w:hAnsi="PingFangSC-Regular" w:eastAsia="PingFangSC-Regular" w:cs="PingFangSC-Regular"/>
                <w:i w:val="0"/>
                <w:iCs w:val="0"/>
                <w:color w:val="120649"/>
                <w:kern w:val="0"/>
                <w:sz w:val="22"/>
                <w:szCs w:val="22"/>
                <w:u w:val="none"/>
                <w:lang w:val="en-US" w:eastAsia="zh-CN" w:bidi="ar"/>
              </w:rPr>
            </w:pPr>
            <w:r>
              <w:rPr>
                <w:rFonts w:hint="eastAsia" w:ascii="仿宋" w:hAnsi="仿宋" w:eastAsia="仿宋" w:cs="仿宋"/>
                <w:b/>
                <w:bCs/>
                <w:kern w:val="0"/>
                <w:sz w:val="24"/>
                <w:szCs w:val="24"/>
                <w:lang w:val="en-US" w:eastAsia="zh-CN"/>
              </w:rPr>
              <w:t>文化元素&amp;哲学元素&amp;道德元素&amp;家国元素</w:t>
            </w:r>
          </w:p>
          <w:p w14:paraId="636642F5">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培养学生的创新意识和工匠精神，鼓励学生在产品开发中追求卓越，打造高质量的旅游产品，提升我国旅游产品的国际竞争力</w:t>
            </w:r>
            <w:r>
              <w:rPr>
                <w:rFonts w:hint="eastAsia" w:ascii="仿宋" w:hAnsi="仿宋" w:eastAsia="仿宋" w:cs="仿宋"/>
                <w:kern w:val="0"/>
                <w:sz w:val="24"/>
                <w:szCs w:val="24"/>
                <w:lang w:val="en-US" w:eastAsia="zh-CN"/>
              </w:rPr>
              <w:t>。</w:t>
            </w:r>
          </w:p>
        </w:tc>
        <w:tc>
          <w:tcPr>
            <w:tcW w:w="462" w:type="dxa"/>
            <w:tcBorders>
              <w:tl2br w:val="nil"/>
              <w:tr2bl w:val="nil"/>
            </w:tcBorders>
            <w:vAlign w:val="center"/>
          </w:tcPr>
          <w:p w14:paraId="2E284698">
            <w:pPr>
              <w:spacing w:line="240" w:lineRule="auto"/>
              <w:ind w:firstLine="0" w:firstLineChars="0"/>
              <w:jc w:val="center"/>
              <w:rPr>
                <w:rFonts w:hint="default" w:ascii="仿宋" w:hAnsi="仿宋" w:eastAsia="仿宋" w:cs="仿宋"/>
                <w:sz w:val="24"/>
                <w:szCs w:val="24"/>
                <w:lang w:val="en-US" w:eastAsia="zh-CN"/>
              </w:rPr>
            </w:pPr>
          </w:p>
        </w:tc>
        <w:tc>
          <w:tcPr>
            <w:tcW w:w="462" w:type="dxa"/>
            <w:tcBorders>
              <w:tl2br w:val="nil"/>
              <w:tr2bl w:val="nil"/>
            </w:tcBorders>
            <w:vAlign w:val="center"/>
          </w:tcPr>
          <w:p w14:paraId="164CB92E">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14:paraId="768E293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98" w:hRule="atLeast"/>
        </w:trPr>
        <w:tc>
          <w:tcPr>
            <w:tcW w:w="530" w:type="dxa"/>
            <w:tcBorders>
              <w:tl2br w:val="nil"/>
              <w:tr2bl w:val="nil"/>
            </w:tcBorders>
            <w:vAlign w:val="center"/>
          </w:tcPr>
          <w:p w14:paraId="5E772525">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811" w:type="dxa"/>
            <w:tcBorders>
              <w:tl2br w:val="nil"/>
              <w:tr2bl w:val="nil"/>
            </w:tcBorders>
            <w:vAlign w:val="center"/>
          </w:tcPr>
          <w:p w14:paraId="3CD610FD">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  拾趣关东白山黑水一东北旅游大区</w:t>
            </w:r>
          </w:p>
        </w:tc>
        <w:tc>
          <w:tcPr>
            <w:tcW w:w="971" w:type="dxa"/>
            <w:tcBorders>
              <w:tl2br w:val="nil"/>
              <w:tr2bl w:val="nil"/>
            </w:tcBorders>
            <w:vAlign w:val="top"/>
          </w:tcPr>
          <w:p w14:paraId="5E0ED258">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分析东北旅游大区的旅游资源特色和旅游市场特点</w:t>
            </w:r>
          </w:p>
        </w:tc>
        <w:tc>
          <w:tcPr>
            <w:tcW w:w="1671" w:type="dxa"/>
            <w:tcBorders>
              <w:tl2br w:val="nil"/>
              <w:tr2bl w:val="nil"/>
            </w:tcBorders>
            <w:vAlign w:val="top"/>
          </w:tcPr>
          <w:p w14:paraId="4ABC0B59">
            <w:pPr>
              <w:keepNext w:val="0"/>
              <w:keepLines w:val="0"/>
              <w:suppressLineNumbers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学习华东旅游大区的地理位置、范围、地理环境特征；掌握该区域的主要旅游资源类型、分布和特征；分析华东旅游大区的旅游市场特点和游客行为</w:t>
            </w:r>
            <w:r>
              <w:rPr>
                <w:rFonts w:hint="eastAsia" w:ascii="仿宋" w:hAnsi="仿宋" w:eastAsia="仿宋" w:cs="仿宋"/>
                <w:kern w:val="0"/>
                <w:sz w:val="24"/>
                <w:szCs w:val="24"/>
                <w:lang w:val="en-US" w:eastAsia="zh-CN"/>
              </w:rPr>
              <w:t>。</w:t>
            </w:r>
          </w:p>
        </w:tc>
        <w:tc>
          <w:tcPr>
            <w:tcW w:w="987" w:type="dxa"/>
            <w:tcBorders>
              <w:tl2br w:val="nil"/>
              <w:tr2bl w:val="nil"/>
            </w:tcBorders>
            <w:vAlign w:val="center"/>
          </w:tcPr>
          <w:p w14:paraId="2CFCA4CF">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170F568A">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13B4EB43">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3542EEAA">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280" w:type="dxa"/>
            <w:tcBorders>
              <w:tl2br w:val="nil"/>
              <w:tr2bl w:val="nil"/>
            </w:tcBorders>
            <w:vAlign w:val="top"/>
          </w:tcPr>
          <w:p w14:paraId="18CDC2F7">
            <w:pPr>
              <w:widowControl/>
              <w:spacing w:line="240" w:lineRule="auto"/>
              <w:ind w:left="0" w:leftChars="0" w:firstLine="0" w:firstLineChars="0"/>
              <w:rPr>
                <w:rFonts w:hint="default" w:ascii="PingFangSC-Regular" w:hAnsi="PingFangSC-Regular" w:eastAsia="PingFangSC-Regular" w:cs="PingFangSC-Regular"/>
                <w:i w:val="0"/>
                <w:iCs w:val="0"/>
                <w:color w:val="120649"/>
                <w:kern w:val="0"/>
                <w:sz w:val="22"/>
                <w:szCs w:val="22"/>
                <w:u w:val="none"/>
                <w:lang w:val="en-US" w:eastAsia="zh-CN" w:bidi="ar"/>
              </w:rPr>
            </w:pPr>
            <w:r>
              <w:rPr>
                <w:rFonts w:hint="eastAsia" w:ascii="仿宋" w:hAnsi="仿宋" w:eastAsia="仿宋" w:cs="仿宋"/>
                <w:b/>
                <w:bCs/>
                <w:kern w:val="0"/>
                <w:sz w:val="24"/>
                <w:szCs w:val="24"/>
                <w:lang w:val="en-US" w:eastAsia="zh-CN"/>
              </w:rPr>
              <w:t>文化元素&amp;哲学元素&amp;道德元素&amp;家国元素</w:t>
            </w:r>
          </w:p>
          <w:p w14:paraId="579791FD">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通过介绍华东地区的传统文化和现代旅游发展，增强学生的文化自信和家国情怀。强调旅游服务中的诚信经营和优质服务，提升学生的道德素养</w:t>
            </w:r>
            <w:r>
              <w:rPr>
                <w:rFonts w:hint="eastAsia" w:ascii="仿宋" w:hAnsi="仿宋" w:eastAsia="仿宋" w:cs="仿宋"/>
                <w:kern w:val="0"/>
                <w:sz w:val="24"/>
                <w:szCs w:val="24"/>
                <w:lang w:val="en-US" w:eastAsia="zh-CN"/>
              </w:rPr>
              <w:t>。</w:t>
            </w:r>
          </w:p>
        </w:tc>
        <w:tc>
          <w:tcPr>
            <w:tcW w:w="462" w:type="dxa"/>
            <w:tcBorders>
              <w:tl2br w:val="nil"/>
              <w:tr2bl w:val="nil"/>
            </w:tcBorders>
            <w:vAlign w:val="center"/>
          </w:tcPr>
          <w:p w14:paraId="7176ECA2">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462" w:type="dxa"/>
            <w:tcBorders>
              <w:tl2br w:val="nil"/>
              <w:tr2bl w:val="nil"/>
            </w:tcBorders>
            <w:vAlign w:val="center"/>
          </w:tcPr>
          <w:p w14:paraId="5415E237">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BF399D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530" w:type="dxa"/>
            <w:tcBorders>
              <w:tl2br w:val="nil"/>
              <w:tr2bl w:val="nil"/>
            </w:tcBorders>
            <w:vAlign w:val="center"/>
          </w:tcPr>
          <w:p w14:paraId="604C6F78">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811" w:type="dxa"/>
            <w:tcBorders>
              <w:tl2br w:val="nil"/>
              <w:tr2bl w:val="nil"/>
            </w:tcBorders>
            <w:vAlign w:val="center"/>
          </w:tcPr>
          <w:p w14:paraId="7AE52571">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 xml:space="preserve">模块四  </w:t>
            </w:r>
            <w:r>
              <w:rPr>
                <w:rFonts w:hint="eastAsia" w:ascii="仿宋" w:hAnsi="仿宋" w:eastAsia="仿宋" w:cs="仿宋"/>
                <w:sz w:val="24"/>
                <w:szCs w:val="24"/>
                <w:lang w:val="en-US" w:eastAsia="zh-CN"/>
              </w:rPr>
              <w:t>寻觅塞外丝路古迹一西北旅游大区</w:t>
            </w:r>
          </w:p>
        </w:tc>
        <w:tc>
          <w:tcPr>
            <w:tcW w:w="971" w:type="dxa"/>
            <w:tcBorders>
              <w:tl2br w:val="nil"/>
              <w:tr2bl w:val="nil"/>
            </w:tcBorders>
            <w:vAlign w:val="top"/>
          </w:tcPr>
          <w:p w14:paraId="228F3EC9">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评估西北旅游大区的旅游资源价值和开发潜力</w:t>
            </w:r>
          </w:p>
        </w:tc>
        <w:tc>
          <w:tcPr>
            <w:tcW w:w="1671" w:type="dxa"/>
            <w:tcBorders>
              <w:tl2br w:val="nil"/>
              <w:tr2bl w:val="nil"/>
            </w:tcBorders>
            <w:vAlign w:val="top"/>
          </w:tcPr>
          <w:p w14:paraId="454996CC">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学习华南旅游大区的地理位置、范围、地理环境特征；掌握该区域的主要旅游资源类型、分布和特征；根据市场需求和旅游资源特点，设计具有吸引力的旅游线路和旅游产品</w:t>
            </w:r>
          </w:p>
        </w:tc>
        <w:tc>
          <w:tcPr>
            <w:tcW w:w="987" w:type="dxa"/>
            <w:tcBorders>
              <w:tl2br w:val="nil"/>
              <w:tr2bl w:val="nil"/>
            </w:tcBorders>
            <w:vAlign w:val="center"/>
          </w:tcPr>
          <w:p w14:paraId="3EA2A613">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4C373771">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5877EE7F">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7FD540C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280" w:type="dxa"/>
            <w:tcBorders>
              <w:tl2br w:val="nil"/>
              <w:tr2bl w:val="nil"/>
            </w:tcBorders>
            <w:vAlign w:val="top"/>
          </w:tcPr>
          <w:p w14:paraId="24A82A9C">
            <w:pPr>
              <w:widowControl/>
              <w:spacing w:line="240" w:lineRule="auto"/>
              <w:ind w:left="0" w:leftChars="0" w:firstLine="0" w:firstLineChars="0"/>
              <w:rPr>
                <w:rFonts w:hint="default" w:ascii="PingFangSC-Regular" w:hAnsi="PingFangSC-Regular" w:eastAsia="PingFangSC-Regular" w:cs="PingFangSC-Regular"/>
                <w:i w:val="0"/>
                <w:iCs w:val="0"/>
                <w:color w:val="120649"/>
                <w:kern w:val="0"/>
                <w:sz w:val="22"/>
                <w:szCs w:val="22"/>
                <w:u w:val="none"/>
                <w:lang w:val="en-US" w:eastAsia="zh-CN" w:bidi="ar"/>
              </w:rPr>
            </w:pPr>
            <w:r>
              <w:rPr>
                <w:rFonts w:hint="eastAsia" w:ascii="仿宋" w:hAnsi="仿宋" w:eastAsia="仿宋" w:cs="仿宋"/>
                <w:b/>
                <w:bCs/>
                <w:kern w:val="0"/>
                <w:sz w:val="24"/>
                <w:szCs w:val="24"/>
                <w:lang w:val="en-US" w:eastAsia="zh-CN"/>
              </w:rPr>
              <w:t>文化元素&amp;哲学元素&amp;道德元素&amp;家国元素</w:t>
            </w:r>
          </w:p>
          <w:p w14:paraId="0AA519D4">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通过介绍华南地区的自然风光和人文景观，培养学生的审美情趣和文化素养。强调旅游线路设计中的创新性和实用性，提升学生的实践能力和创新意识</w:t>
            </w:r>
            <w:r>
              <w:rPr>
                <w:rFonts w:hint="eastAsia" w:ascii="仿宋" w:hAnsi="仿宋" w:eastAsia="仿宋" w:cs="仿宋"/>
                <w:kern w:val="0"/>
                <w:sz w:val="24"/>
                <w:szCs w:val="24"/>
                <w:lang w:val="en-US" w:eastAsia="zh-CN"/>
              </w:rPr>
              <w:t>。</w:t>
            </w:r>
          </w:p>
        </w:tc>
        <w:tc>
          <w:tcPr>
            <w:tcW w:w="462" w:type="dxa"/>
            <w:tcBorders>
              <w:tl2br w:val="nil"/>
              <w:tr2bl w:val="nil"/>
            </w:tcBorders>
            <w:vAlign w:val="center"/>
          </w:tcPr>
          <w:p w14:paraId="45A86353">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462" w:type="dxa"/>
            <w:tcBorders>
              <w:tl2br w:val="nil"/>
              <w:tr2bl w:val="nil"/>
            </w:tcBorders>
            <w:vAlign w:val="center"/>
          </w:tcPr>
          <w:p w14:paraId="6799C16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3B74B86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52" w:hRule="atLeast"/>
        </w:trPr>
        <w:tc>
          <w:tcPr>
            <w:tcW w:w="530" w:type="dxa"/>
            <w:tcBorders>
              <w:tl2br w:val="nil"/>
              <w:tr2bl w:val="nil"/>
            </w:tcBorders>
            <w:vAlign w:val="center"/>
          </w:tcPr>
          <w:p w14:paraId="07CF892C">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811" w:type="dxa"/>
            <w:tcBorders>
              <w:tl2br w:val="nil"/>
              <w:tr2bl w:val="nil"/>
            </w:tcBorders>
            <w:vAlign w:val="center"/>
          </w:tcPr>
          <w:p w14:paraId="4654247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 xml:space="preserve">模块五  </w:t>
            </w:r>
            <w:r>
              <w:rPr>
                <w:rFonts w:hint="eastAsia" w:ascii="仿宋" w:hAnsi="仿宋" w:eastAsia="仿宋" w:cs="仿宋"/>
                <w:kern w:val="0"/>
                <w:sz w:val="24"/>
                <w:szCs w:val="24"/>
                <w:lang w:val="en-US" w:eastAsia="zh-CN" w:bidi="ar-SA"/>
              </w:rPr>
              <w:t>寻根华夏古都文明一华北旅游大区</w:t>
            </w:r>
          </w:p>
        </w:tc>
        <w:tc>
          <w:tcPr>
            <w:tcW w:w="971" w:type="dxa"/>
            <w:tcBorders>
              <w:tl2br w:val="nil"/>
              <w:tr2bl w:val="nil"/>
            </w:tcBorders>
            <w:vAlign w:val="top"/>
          </w:tcPr>
          <w:p w14:paraId="2B7AC778">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掌握华北旅游大区的主要旅游资源类型和特征</w:t>
            </w:r>
          </w:p>
        </w:tc>
        <w:tc>
          <w:tcPr>
            <w:tcW w:w="1671" w:type="dxa"/>
            <w:tcBorders>
              <w:tl2br w:val="nil"/>
              <w:tr2bl w:val="nil"/>
            </w:tcBorders>
            <w:vAlign w:val="top"/>
          </w:tcPr>
          <w:p w14:paraId="2E106B33">
            <w:pPr>
              <w:keepNext w:val="0"/>
              <w:keepLines w:val="0"/>
              <w:suppressLineNumbers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学习西南旅游大区的地理位置、范围、地理环境特征；掌握该区域的主要旅游资源类型、分布和特征；运用旅游资源评价方法，评估西南旅游大区的旅游资源价值和开发潜力</w:t>
            </w:r>
            <w:r>
              <w:rPr>
                <w:rFonts w:hint="eastAsia" w:ascii="仿宋" w:hAnsi="仿宋" w:eastAsia="仿宋" w:cs="仿宋"/>
                <w:kern w:val="0"/>
                <w:sz w:val="24"/>
                <w:szCs w:val="24"/>
                <w:lang w:val="en-US" w:eastAsia="zh-CN"/>
              </w:rPr>
              <w:t>。</w:t>
            </w:r>
          </w:p>
        </w:tc>
        <w:tc>
          <w:tcPr>
            <w:tcW w:w="987" w:type="dxa"/>
            <w:tcBorders>
              <w:tl2br w:val="nil"/>
              <w:tr2bl w:val="nil"/>
            </w:tcBorders>
            <w:vAlign w:val="center"/>
          </w:tcPr>
          <w:p w14:paraId="2C60F10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left"/>
              <w:textAlignment w:val="center"/>
              <w:rPr>
                <w:rFonts w:hint="eastAsia" w:ascii="仿宋" w:hAnsi="仿宋" w:eastAsia="仿宋" w:cs="仿宋"/>
                <w:kern w:val="0"/>
                <w:sz w:val="24"/>
                <w:szCs w:val="24"/>
                <w:lang w:val="en-US"/>
              </w:rPr>
            </w:pPr>
            <w:r>
              <w:rPr>
                <w:rFonts w:hint="eastAsia" w:ascii="仿宋" w:hAnsi="仿宋" w:eastAsia="仿宋" w:cs="仿宋"/>
                <w:b/>
                <w:bCs/>
                <w:kern w:val="0"/>
                <w:sz w:val="24"/>
                <w:szCs w:val="24"/>
                <w:lang w:val="en-US" w:eastAsia="zh-CN" w:bidi="ar"/>
              </w:rPr>
              <w:t>讲授法</w:t>
            </w:r>
            <w:r>
              <w:rPr>
                <w:rFonts w:hint="eastAsia" w:ascii="仿宋" w:hAnsi="仿宋" w:eastAsia="仿宋" w:cs="仿宋"/>
                <w:b/>
                <w:bCs/>
                <w:kern w:val="0"/>
                <w:sz w:val="24"/>
                <w:szCs w:val="24"/>
                <w:lang w:val="en-US" w:eastAsia="zh-CN" w:bidi="ar"/>
              </w:rPr>
              <w:br w:type="textWrapping"/>
            </w:r>
            <w:r>
              <w:rPr>
                <w:rFonts w:hint="eastAsia" w:ascii="仿宋" w:hAnsi="仿宋" w:eastAsia="仿宋" w:cs="仿宋"/>
                <w:b/>
                <w:bCs/>
                <w:kern w:val="0"/>
                <w:sz w:val="24"/>
                <w:szCs w:val="24"/>
                <w:lang w:val="en-US" w:eastAsia="zh-CN" w:bidi="ar"/>
              </w:rPr>
              <w:t>讨论法</w:t>
            </w:r>
          </w:p>
          <w:p w14:paraId="187D1AA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left"/>
              <w:rPr>
                <w:rFonts w:hint="eastAsia" w:ascii="仿宋" w:hAnsi="仿宋" w:eastAsia="仿宋" w:cs="仿宋"/>
                <w:b/>
                <w:bCs/>
                <w:kern w:val="0"/>
                <w:sz w:val="24"/>
                <w:szCs w:val="24"/>
                <w:lang w:val="en-US" w:eastAsia="zh-CN" w:bidi="ar"/>
              </w:rPr>
            </w:pPr>
            <w:r>
              <w:rPr>
                <w:rFonts w:hint="eastAsia" w:ascii="仿宋" w:hAnsi="仿宋" w:eastAsia="仿宋" w:cs="仿宋"/>
                <w:b/>
                <w:bCs/>
                <w:kern w:val="0"/>
                <w:sz w:val="24"/>
                <w:szCs w:val="24"/>
                <w:lang w:val="en-US" w:eastAsia="zh-CN" w:bidi="ar"/>
              </w:rPr>
              <w:t>案例分析法</w:t>
            </w:r>
          </w:p>
          <w:p w14:paraId="59F4459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left"/>
              <w:rPr>
                <w:rFonts w:hint="eastAsia" w:ascii="仿宋" w:hAnsi="仿宋" w:eastAsia="仿宋" w:cs="仿宋"/>
                <w:b/>
                <w:bCs/>
                <w:kern w:val="0"/>
                <w:sz w:val="24"/>
                <w:szCs w:val="24"/>
                <w:lang w:val="en-US" w:eastAsia="zh-CN" w:bidi="ar"/>
              </w:rPr>
            </w:pPr>
            <w:r>
              <w:rPr>
                <w:rFonts w:hint="eastAsia" w:ascii="仿宋" w:hAnsi="仿宋" w:eastAsia="仿宋" w:cs="仿宋"/>
                <w:b/>
                <w:bCs/>
                <w:kern w:val="0"/>
                <w:sz w:val="24"/>
                <w:szCs w:val="24"/>
                <w:lang w:val="en-US" w:eastAsia="zh-CN"/>
              </w:rPr>
              <w:t>项目实践法</w:t>
            </w:r>
          </w:p>
        </w:tc>
        <w:tc>
          <w:tcPr>
            <w:tcW w:w="3280" w:type="dxa"/>
            <w:tcBorders>
              <w:tl2br w:val="nil"/>
              <w:tr2bl w:val="nil"/>
            </w:tcBorders>
            <w:vAlign w:val="top"/>
          </w:tcPr>
          <w:p w14:paraId="61C2CBE0">
            <w:pPr>
              <w:widowControl/>
              <w:spacing w:line="240" w:lineRule="auto"/>
              <w:ind w:left="0" w:leftChars="0" w:firstLine="0" w:firstLineChars="0"/>
              <w:rPr>
                <w:rFonts w:hint="default" w:ascii="PingFangSC-Regular" w:hAnsi="PingFangSC-Regular" w:eastAsia="PingFangSC-Regular" w:cs="PingFangSC-Regular"/>
                <w:i w:val="0"/>
                <w:iCs w:val="0"/>
                <w:color w:val="120649"/>
                <w:kern w:val="0"/>
                <w:sz w:val="22"/>
                <w:szCs w:val="22"/>
                <w:u w:val="none"/>
                <w:lang w:val="en-US" w:eastAsia="zh-CN" w:bidi="ar"/>
              </w:rPr>
            </w:pPr>
            <w:r>
              <w:rPr>
                <w:rFonts w:hint="eastAsia" w:ascii="仿宋" w:hAnsi="仿宋" w:eastAsia="仿宋" w:cs="仿宋"/>
                <w:b/>
                <w:bCs/>
                <w:kern w:val="0"/>
                <w:sz w:val="24"/>
                <w:szCs w:val="24"/>
                <w:lang w:val="en-US" w:eastAsia="zh-CN"/>
              </w:rPr>
              <w:t>文化元素&amp;哲学元素&amp;道德元素&amp;家国元素</w:t>
            </w:r>
          </w:p>
          <w:p w14:paraId="658D1B4D">
            <w:pPr>
              <w:keepNext w:val="0"/>
              <w:keepLines w:val="0"/>
              <w:suppressLineNumbers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通过分析西南地区的旅游资源开发案例，引导学生思考旅游开发与环境保护的平衡。强调旅游资源评价中的客观性和科学性，提升学生的分析能力和判断力</w:t>
            </w:r>
            <w:r>
              <w:rPr>
                <w:rFonts w:hint="eastAsia" w:ascii="仿宋" w:hAnsi="仿宋" w:eastAsia="仿宋" w:cs="仿宋"/>
                <w:kern w:val="0"/>
                <w:sz w:val="24"/>
                <w:szCs w:val="24"/>
                <w:lang w:val="en-US" w:eastAsia="zh-CN"/>
              </w:rPr>
              <w:t>,故宫文物数字化展览的工匠精神。</w:t>
            </w:r>
          </w:p>
        </w:tc>
        <w:tc>
          <w:tcPr>
            <w:tcW w:w="462" w:type="dxa"/>
            <w:tcBorders>
              <w:tl2br w:val="nil"/>
              <w:tr2bl w:val="nil"/>
            </w:tcBorders>
            <w:vAlign w:val="center"/>
          </w:tcPr>
          <w:p w14:paraId="6415C6A0">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462" w:type="dxa"/>
            <w:tcBorders>
              <w:tl2br w:val="nil"/>
              <w:tr2bl w:val="nil"/>
            </w:tcBorders>
            <w:vAlign w:val="center"/>
          </w:tcPr>
          <w:p w14:paraId="36355C9F">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2E392C5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09" w:hRule="atLeast"/>
        </w:trPr>
        <w:tc>
          <w:tcPr>
            <w:tcW w:w="530" w:type="dxa"/>
            <w:tcBorders>
              <w:tl2br w:val="nil"/>
              <w:tr2bl w:val="nil"/>
            </w:tcBorders>
            <w:vAlign w:val="center"/>
          </w:tcPr>
          <w:p w14:paraId="7BB7E662">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811" w:type="dxa"/>
            <w:tcBorders>
              <w:tl2br w:val="nil"/>
              <w:tr2bl w:val="nil"/>
            </w:tcBorders>
            <w:vAlign w:val="center"/>
          </w:tcPr>
          <w:p w14:paraId="1975AC5F">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模块六  体验高山峡谷风情一西南旅游大区</w:t>
            </w:r>
          </w:p>
        </w:tc>
        <w:tc>
          <w:tcPr>
            <w:tcW w:w="971" w:type="dxa"/>
            <w:tcBorders>
              <w:tl2br w:val="nil"/>
              <w:tr2bl w:val="nil"/>
            </w:tcBorders>
            <w:vAlign w:val="top"/>
          </w:tcPr>
          <w:p w14:paraId="491313BA">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设计西南旅游大区的旅游线路和旅游产品</w:t>
            </w:r>
          </w:p>
        </w:tc>
        <w:tc>
          <w:tcPr>
            <w:tcW w:w="1671" w:type="dxa"/>
            <w:tcBorders>
              <w:tl2br w:val="nil"/>
              <w:tr2bl w:val="nil"/>
            </w:tcBorders>
            <w:vAlign w:val="top"/>
          </w:tcPr>
          <w:p w14:paraId="52FD96B5">
            <w:pPr>
              <w:keepNext w:val="0"/>
              <w:keepLines w:val="0"/>
              <w:suppressLineNumbers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学习西北旅游大区的地理位置、范围、地理环境特征；掌握该区域的主要旅游资源类型、分布和特征；了解西北旅游大区的旅游交通网络、旅游设施和服务水平</w:t>
            </w:r>
            <w:r>
              <w:rPr>
                <w:rFonts w:hint="eastAsia" w:ascii="仿宋" w:hAnsi="仿宋" w:eastAsia="仿宋" w:cs="仿宋"/>
                <w:kern w:val="0"/>
                <w:sz w:val="24"/>
                <w:szCs w:val="24"/>
                <w:lang w:val="en-US" w:eastAsia="zh-CN"/>
              </w:rPr>
              <w:t>。</w:t>
            </w:r>
          </w:p>
        </w:tc>
        <w:tc>
          <w:tcPr>
            <w:tcW w:w="987" w:type="dxa"/>
            <w:tcBorders>
              <w:tl2br w:val="nil"/>
              <w:tr2bl w:val="nil"/>
            </w:tcBorders>
            <w:vAlign w:val="top"/>
          </w:tcPr>
          <w:p w14:paraId="1005809A">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32E293DE">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47636A69">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1635DACD">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p w14:paraId="028CFDC2">
            <w:pPr>
              <w:widowControl/>
              <w:spacing w:line="240" w:lineRule="auto"/>
              <w:ind w:firstLine="480" w:firstLineChars="200"/>
              <w:jc w:val="both"/>
              <w:rPr>
                <w:rFonts w:hint="eastAsia" w:ascii="仿宋" w:hAnsi="仿宋" w:eastAsia="仿宋" w:cs="仿宋"/>
                <w:kern w:val="0"/>
                <w:sz w:val="24"/>
                <w:szCs w:val="24"/>
                <w:lang w:val="en-US" w:eastAsia="zh-CN" w:bidi="ar-SA"/>
              </w:rPr>
            </w:pPr>
          </w:p>
        </w:tc>
        <w:tc>
          <w:tcPr>
            <w:tcW w:w="3280" w:type="dxa"/>
            <w:tcBorders>
              <w:tl2br w:val="nil"/>
              <w:tr2bl w:val="nil"/>
            </w:tcBorders>
            <w:vAlign w:val="top"/>
          </w:tcPr>
          <w:p w14:paraId="332BB3C6">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0139B3F5">
            <w:pPr>
              <w:keepNext w:val="0"/>
              <w:keepLines w:val="0"/>
              <w:suppressLineNumbers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通过介绍西北地区的丝绸之路文化和自然风光，增强学生的文化自信和家国情怀。强调旅游服务中的安全意识和应急处理能力，提升学生的道德素养和责任感</w:t>
            </w:r>
            <w:r>
              <w:rPr>
                <w:rFonts w:hint="eastAsia" w:ascii="仿宋" w:hAnsi="仿宋" w:eastAsia="仿宋" w:cs="仿宋"/>
                <w:kern w:val="0"/>
                <w:sz w:val="24"/>
                <w:szCs w:val="24"/>
                <w:lang w:val="en-US" w:eastAsia="zh-CN"/>
              </w:rPr>
              <w:t>。</w:t>
            </w:r>
          </w:p>
        </w:tc>
        <w:tc>
          <w:tcPr>
            <w:tcW w:w="462" w:type="dxa"/>
            <w:tcBorders>
              <w:tl2br w:val="nil"/>
              <w:tr2bl w:val="nil"/>
            </w:tcBorders>
            <w:vAlign w:val="center"/>
          </w:tcPr>
          <w:p w14:paraId="56F52B1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462" w:type="dxa"/>
            <w:tcBorders>
              <w:tl2br w:val="nil"/>
              <w:tr2bl w:val="nil"/>
            </w:tcBorders>
            <w:vAlign w:val="center"/>
          </w:tcPr>
          <w:p w14:paraId="61492E02">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718F2DB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80" w:hRule="atLeast"/>
        </w:trPr>
        <w:tc>
          <w:tcPr>
            <w:tcW w:w="530" w:type="dxa"/>
            <w:tcBorders>
              <w:tl2br w:val="nil"/>
              <w:tr2bl w:val="nil"/>
            </w:tcBorders>
            <w:vAlign w:val="center"/>
          </w:tcPr>
          <w:p w14:paraId="1686B10A">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w:t>
            </w:r>
          </w:p>
        </w:tc>
        <w:tc>
          <w:tcPr>
            <w:tcW w:w="811" w:type="dxa"/>
            <w:tcBorders>
              <w:tl2br w:val="nil"/>
              <w:tr2bl w:val="nil"/>
            </w:tcBorders>
            <w:vAlign w:val="center"/>
          </w:tcPr>
          <w:p w14:paraId="00D6CBAF">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模块七  感悟两湖荆楚文化一华中旅游大区</w:t>
            </w:r>
          </w:p>
        </w:tc>
        <w:tc>
          <w:tcPr>
            <w:tcW w:w="971" w:type="dxa"/>
            <w:tcBorders>
              <w:tl2br w:val="nil"/>
              <w:tr2bl w:val="nil"/>
            </w:tcBorders>
            <w:vAlign w:val="top"/>
          </w:tcPr>
          <w:p w14:paraId="2F6D7B61">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了解华中旅游大区的旅游交通和旅游设施状况</w:t>
            </w:r>
          </w:p>
        </w:tc>
        <w:tc>
          <w:tcPr>
            <w:tcW w:w="1671" w:type="dxa"/>
            <w:tcBorders>
              <w:tl2br w:val="nil"/>
              <w:tr2bl w:val="nil"/>
            </w:tcBorders>
            <w:vAlign w:val="top"/>
          </w:tcPr>
          <w:p w14:paraId="7565F18D">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学习青藏旅游大区的地理位置、范围、地理环境特征；掌握该区域的主要旅游资源类型、分布和特征；分析青藏旅游大区旅游开发中面临的环境问题和社会经济挑战；探讨旅游可持续发展的策略和措施</w:t>
            </w:r>
            <w:r>
              <w:rPr>
                <w:rFonts w:hint="eastAsia" w:ascii="仿宋" w:hAnsi="仿宋" w:eastAsia="仿宋" w:cs="仿宋"/>
                <w:kern w:val="0"/>
                <w:sz w:val="24"/>
                <w:szCs w:val="24"/>
                <w:lang w:val="en-US" w:eastAsia="zh-CN"/>
              </w:rPr>
              <w:t>。</w:t>
            </w:r>
          </w:p>
        </w:tc>
        <w:tc>
          <w:tcPr>
            <w:tcW w:w="987" w:type="dxa"/>
            <w:tcBorders>
              <w:tl2br w:val="nil"/>
              <w:tr2bl w:val="nil"/>
            </w:tcBorders>
            <w:vAlign w:val="top"/>
          </w:tcPr>
          <w:p w14:paraId="045D7D2D">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470824D9">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6D633471">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2A23905F">
            <w:pPr>
              <w:keepNext w:val="0"/>
              <w:keepLines w:val="0"/>
              <w:widowControl/>
              <w:suppressLineNumbers w:val="0"/>
              <w:spacing w:line="240" w:lineRule="auto"/>
              <w:ind w:left="0" w:leftChars="0" w:firstLine="0" w:firstLineChars="0"/>
              <w:jc w:val="both"/>
              <w:textAlignment w:val="center"/>
              <w:rPr>
                <w:rFonts w:hint="default"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280" w:type="dxa"/>
            <w:tcBorders>
              <w:tl2br w:val="nil"/>
              <w:tr2bl w:val="nil"/>
            </w:tcBorders>
            <w:vAlign w:val="top"/>
          </w:tcPr>
          <w:p w14:paraId="25F1FBDC">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184C1CCA">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通过分析青藏地区的生态环境和文化遗产保护案例，引导学生思考旅游开发与环境保护的和谐共生。强调旅游可持续发展中的社会责任和长远眼光，提升学生的综合素养和创新能力</w:t>
            </w:r>
            <w:r>
              <w:rPr>
                <w:rFonts w:hint="eastAsia" w:ascii="仿宋" w:hAnsi="仿宋" w:eastAsia="仿宋" w:cs="仿宋"/>
                <w:kern w:val="0"/>
                <w:sz w:val="24"/>
                <w:szCs w:val="24"/>
                <w:lang w:val="en-US" w:eastAsia="zh-CN"/>
              </w:rPr>
              <w:t>,长江生态保护与低碳旅游行为规范</w:t>
            </w:r>
            <w:r>
              <w:rPr>
                <w:rFonts w:hint="eastAsia" w:ascii="仿宋" w:hAnsi="仿宋" w:eastAsia="仿宋" w:cs="仿宋"/>
                <w:kern w:val="0"/>
                <w:sz w:val="24"/>
                <w:szCs w:val="24"/>
                <w:lang w:val="en-US" w:eastAsia="zh-CN"/>
              </w:rPr>
              <w:t>。</w:t>
            </w:r>
          </w:p>
        </w:tc>
        <w:tc>
          <w:tcPr>
            <w:tcW w:w="462" w:type="dxa"/>
            <w:tcBorders>
              <w:tl2br w:val="nil"/>
              <w:tr2bl w:val="nil"/>
            </w:tcBorders>
            <w:vAlign w:val="center"/>
          </w:tcPr>
          <w:p w14:paraId="05DB9C50">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462" w:type="dxa"/>
            <w:tcBorders>
              <w:tl2br w:val="nil"/>
              <w:tr2bl w:val="nil"/>
            </w:tcBorders>
            <w:vAlign w:val="center"/>
          </w:tcPr>
          <w:p w14:paraId="4F50040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CEC23B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80" w:hRule="atLeast"/>
        </w:trPr>
        <w:tc>
          <w:tcPr>
            <w:tcW w:w="530" w:type="dxa"/>
            <w:tcBorders>
              <w:tl2br w:val="nil"/>
              <w:tr2bl w:val="nil"/>
            </w:tcBorders>
            <w:vAlign w:val="center"/>
          </w:tcPr>
          <w:p w14:paraId="7A00343C">
            <w:pPr>
              <w:spacing w:line="240" w:lineRule="auto"/>
              <w:ind w:firstLine="0" w:firstLineChars="0"/>
              <w:rPr>
                <w:rFonts w:hint="default" w:ascii="仿宋" w:hAnsi="仿宋" w:eastAsia="仿宋" w:cs="仿宋"/>
                <w:sz w:val="24"/>
                <w:szCs w:val="24"/>
                <w:lang w:val="en-US" w:eastAsia="zh-CN"/>
              </w:rPr>
            </w:pPr>
            <w:bookmarkStart w:id="34" w:name="_Toc20287"/>
            <w:bookmarkStart w:id="35" w:name="_Toc502337267"/>
            <w:r>
              <w:rPr>
                <w:rFonts w:hint="eastAsia" w:ascii="仿宋" w:hAnsi="仿宋" w:eastAsia="仿宋" w:cs="仿宋"/>
                <w:sz w:val="24"/>
                <w:szCs w:val="24"/>
                <w:lang w:val="en-US" w:eastAsia="zh-CN"/>
              </w:rPr>
              <w:t>8</w:t>
            </w:r>
          </w:p>
        </w:tc>
        <w:tc>
          <w:tcPr>
            <w:tcW w:w="811" w:type="dxa"/>
            <w:tcBorders>
              <w:tl2br w:val="nil"/>
              <w:tr2bl w:val="nil"/>
            </w:tcBorders>
            <w:vAlign w:val="center"/>
          </w:tcPr>
          <w:p w14:paraId="3FD5153B">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模块八  漫游吴越诗画江南一华东旅游大区</w:t>
            </w:r>
          </w:p>
        </w:tc>
        <w:tc>
          <w:tcPr>
            <w:tcW w:w="971" w:type="dxa"/>
            <w:tcBorders>
              <w:tl2br w:val="nil"/>
              <w:tr2bl w:val="nil"/>
            </w:tcBorders>
            <w:vAlign w:val="top"/>
          </w:tcPr>
          <w:p w14:paraId="129BB3D9">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探讨华东旅游大区的旅游可持续发展策略</w:t>
            </w:r>
          </w:p>
        </w:tc>
        <w:tc>
          <w:tcPr>
            <w:tcW w:w="1671" w:type="dxa"/>
            <w:tcBorders>
              <w:tl2br w:val="nil"/>
              <w:tr2bl w:val="nil"/>
            </w:tcBorders>
            <w:vAlign w:val="top"/>
          </w:tcPr>
          <w:p w14:paraId="58BA9650">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学习TIS的基本概念、功能和应用领域；掌握TIS在旅游信息查询、空间数据分析、旅游路线规划等方面的应用技能；通过实践操作，提升学生的TIS应用能力和信息素养</w:t>
            </w:r>
            <w:r>
              <w:rPr>
                <w:rFonts w:hint="eastAsia" w:ascii="仿宋" w:hAnsi="仿宋" w:eastAsia="仿宋" w:cs="仿宋"/>
                <w:kern w:val="0"/>
                <w:sz w:val="24"/>
                <w:szCs w:val="24"/>
                <w:lang w:val="en-US" w:eastAsia="zh-CN"/>
              </w:rPr>
              <w:t>，使用GIS系统分析旅游资源空间分布；通过新媒体平台设计数字营销方案；应用VR技术模拟景区导览实训。</w:t>
            </w:r>
          </w:p>
          <w:p w14:paraId="72DE7488">
            <w:pPr>
              <w:pStyle w:val="2"/>
              <w:rPr>
                <w:rFonts w:hint="eastAsia"/>
                <w:lang w:val="en-US" w:eastAsia="zh-CN"/>
              </w:rPr>
            </w:pPr>
          </w:p>
        </w:tc>
        <w:tc>
          <w:tcPr>
            <w:tcW w:w="987" w:type="dxa"/>
            <w:tcBorders>
              <w:tl2br w:val="nil"/>
              <w:tr2bl w:val="nil"/>
            </w:tcBorders>
            <w:vAlign w:val="top"/>
          </w:tcPr>
          <w:p w14:paraId="51D25C61">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29687005">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7A540BAA">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41E2D629">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280" w:type="dxa"/>
            <w:tcBorders>
              <w:tl2br w:val="nil"/>
              <w:tr2bl w:val="nil"/>
            </w:tcBorders>
            <w:vAlign w:val="top"/>
          </w:tcPr>
          <w:p w14:paraId="374645CC">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53D23328">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结合国家信息化建设成就，引导学生思考技术创新对国家发展的重要性，培养学生的科技创新意识。同时，通过实践操作，让学生体会信息技术在提升旅游服务质量和效率方面的作用，增强信息素养和法治意识</w:t>
            </w:r>
            <w:r>
              <w:rPr>
                <w:rFonts w:hint="eastAsia" w:ascii="仿宋" w:hAnsi="仿宋" w:eastAsia="仿宋" w:cs="仿宋"/>
                <w:kern w:val="0"/>
                <w:sz w:val="24"/>
                <w:szCs w:val="24"/>
                <w:lang w:val="en-US" w:eastAsia="zh-CN"/>
              </w:rPr>
              <w:t>。</w:t>
            </w:r>
          </w:p>
        </w:tc>
        <w:tc>
          <w:tcPr>
            <w:tcW w:w="462" w:type="dxa"/>
            <w:tcBorders>
              <w:tl2br w:val="nil"/>
              <w:tr2bl w:val="nil"/>
            </w:tcBorders>
            <w:vAlign w:val="center"/>
          </w:tcPr>
          <w:p w14:paraId="1B126FE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462" w:type="dxa"/>
            <w:tcBorders>
              <w:tl2br w:val="nil"/>
              <w:tr2bl w:val="nil"/>
            </w:tcBorders>
            <w:vAlign w:val="center"/>
          </w:tcPr>
          <w:p w14:paraId="4DF9E07A">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7675C3D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80" w:hRule="atLeast"/>
        </w:trPr>
        <w:tc>
          <w:tcPr>
            <w:tcW w:w="530" w:type="dxa"/>
            <w:tcBorders>
              <w:tl2br w:val="nil"/>
              <w:tr2bl w:val="nil"/>
            </w:tcBorders>
            <w:vAlign w:val="center"/>
          </w:tcPr>
          <w:p w14:paraId="730B9102">
            <w:pPr>
              <w:spacing w:line="240" w:lineRule="auto"/>
              <w:ind w:firstLine="0" w:firstLineChars="0"/>
              <w:rPr>
                <w:rFonts w:hint="default" w:ascii="仿宋" w:hAnsi="仿宋" w:eastAsia="仿宋" w:cs="仿宋"/>
                <w:sz w:val="24"/>
                <w:szCs w:val="24"/>
                <w:lang w:val="en-US" w:eastAsia="zh-CN"/>
              </w:rPr>
            </w:pPr>
            <w:bookmarkStart w:id="36" w:name="_Toc17537"/>
            <w:r>
              <w:rPr>
                <w:rFonts w:hint="eastAsia" w:ascii="仿宋" w:hAnsi="仿宋" w:eastAsia="仿宋" w:cs="仿宋"/>
                <w:sz w:val="24"/>
                <w:szCs w:val="24"/>
                <w:lang w:val="en-US" w:eastAsia="zh-CN"/>
              </w:rPr>
              <w:t>9</w:t>
            </w:r>
          </w:p>
        </w:tc>
        <w:tc>
          <w:tcPr>
            <w:tcW w:w="811" w:type="dxa"/>
            <w:tcBorders>
              <w:tl2br w:val="nil"/>
              <w:tr2bl w:val="nil"/>
            </w:tcBorders>
            <w:vAlign w:val="center"/>
          </w:tcPr>
          <w:p w14:paraId="5A98DC91">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模块九  领略岭南山海侨乡一华南旅游大区</w:t>
            </w:r>
          </w:p>
        </w:tc>
        <w:tc>
          <w:tcPr>
            <w:tcW w:w="971" w:type="dxa"/>
            <w:tcBorders>
              <w:tl2br w:val="nil"/>
              <w:tr2bl w:val="nil"/>
            </w:tcBorders>
            <w:vAlign w:val="top"/>
          </w:tcPr>
          <w:p w14:paraId="60904632">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深入分析华南旅游大区的旅游发展案例</w:t>
            </w:r>
          </w:p>
        </w:tc>
        <w:tc>
          <w:tcPr>
            <w:tcW w:w="1671" w:type="dxa"/>
            <w:tcBorders>
              <w:tl2br w:val="nil"/>
              <w:tr2bl w:val="nil"/>
            </w:tcBorders>
            <w:vAlign w:val="top"/>
          </w:tcPr>
          <w:p w14:paraId="7621D0B7">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学习案例分析的基本方法和技巧；深入分析金坛茅山、浙江江山等地的旅游发展案例，包括旅游规划、文化遗产保护、生态旅游等方面的实践；总结案例中的成功经验和存在问题，提出改进建议</w:t>
            </w:r>
            <w:r>
              <w:rPr>
                <w:rFonts w:hint="eastAsia" w:ascii="仿宋" w:hAnsi="仿宋" w:eastAsia="仿宋" w:cs="仿宋"/>
                <w:kern w:val="0"/>
                <w:sz w:val="24"/>
                <w:szCs w:val="24"/>
                <w:lang w:val="en-US" w:eastAsia="zh-CN"/>
              </w:rPr>
              <w:t>，使用GIS系统分析旅游资源空间分布；通过新媒体平台设计数字营销方案；应用VR技术模拟景区导览实训。</w:t>
            </w:r>
          </w:p>
        </w:tc>
        <w:tc>
          <w:tcPr>
            <w:tcW w:w="987" w:type="dxa"/>
            <w:tcBorders>
              <w:tl2br w:val="nil"/>
              <w:tr2bl w:val="nil"/>
            </w:tcBorders>
            <w:vAlign w:val="top"/>
          </w:tcPr>
          <w:p w14:paraId="4FFB18E1">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7B536B16">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讨论法</w:t>
            </w:r>
          </w:p>
          <w:p w14:paraId="47B792F1">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66D9F05E">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280" w:type="dxa"/>
            <w:tcBorders>
              <w:tl2br w:val="nil"/>
              <w:tr2bl w:val="nil"/>
            </w:tcBorders>
            <w:vAlign w:val="top"/>
          </w:tcPr>
          <w:p w14:paraId="1B1FFF9A">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1075385D">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通过金坛茅山等案例，强调生态文明建设和可持续发展的重要性，引导学生思考如何在旅游开发中实现经济效益、社会效益和环境效益的统一。通过厦门鼓浪屿等案例，引导学生思考文化遗产保护与旅游开发的平衡，培养文化遗产保护意识</w:t>
            </w:r>
            <w:r>
              <w:rPr>
                <w:rFonts w:hint="eastAsia" w:ascii="仿宋" w:hAnsi="仿宋" w:eastAsia="仿宋" w:cs="仿宋"/>
                <w:kern w:val="0"/>
                <w:sz w:val="24"/>
                <w:szCs w:val="24"/>
                <w:lang w:val="en-US" w:eastAsia="zh-CN"/>
              </w:rPr>
              <w:t>结合侨乡文化元宇宙传播案例</w:t>
            </w:r>
            <w:r>
              <w:rPr>
                <w:rFonts w:hint="eastAsia" w:ascii="仿宋" w:hAnsi="仿宋" w:eastAsia="仿宋" w:cs="仿宋"/>
                <w:kern w:val="0"/>
                <w:sz w:val="24"/>
                <w:szCs w:val="24"/>
                <w:lang w:val="en-US" w:eastAsia="zh-CN"/>
              </w:rPr>
              <w:t>。</w:t>
            </w:r>
          </w:p>
        </w:tc>
        <w:tc>
          <w:tcPr>
            <w:tcW w:w="462" w:type="dxa"/>
            <w:tcBorders>
              <w:tl2br w:val="nil"/>
              <w:tr2bl w:val="nil"/>
            </w:tcBorders>
            <w:vAlign w:val="center"/>
          </w:tcPr>
          <w:p w14:paraId="41D80E52">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462" w:type="dxa"/>
            <w:tcBorders>
              <w:tl2br w:val="nil"/>
              <w:tr2bl w:val="nil"/>
            </w:tcBorders>
            <w:vAlign w:val="center"/>
          </w:tcPr>
          <w:p w14:paraId="0B9FA834">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11ED90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80" w:hRule="atLeast"/>
        </w:trPr>
        <w:tc>
          <w:tcPr>
            <w:tcW w:w="530" w:type="dxa"/>
            <w:tcBorders>
              <w:tl2br w:val="nil"/>
              <w:tr2bl w:val="nil"/>
            </w:tcBorders>
            <w:vAlign w:val="center"/>
          </w:tcPr>
          <w:p w14:paraId="34259162">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c>
          <w:tcPr>
            <w:tcW w:w="811" w:type="dxa"/>
            <w:tcBorders>
              <w:tl2br w:val="nil"/>
              <w:tr2bl w:val="nil"/>
            </w:tcBorders>
            <w:vAlign w:val="center"/>
          </w:tcPr>
          <w:p w14:paraId="2BF2E86C">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  探秘屋脊雪域藏乡--青藏旅游大区</w:t>
            </w:r>
          </w:p>
        </w:tc>
        <w:tc>
          <w:tcPr>
            <w:tcW w:w="971" w:type="dxa"/>
            <w:tcBorders>
              <w:tl2br w:val="nil"/>
              <w:tr2bl w:val="nil"/>
            </w:tcBorders>
            <w:vAlign w:val="top"/>
          </w:tcPr>
          <w:p w14:paraId="2BB4C6F3">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完成旅游资源分析报告、旅游线路设计方案等实践任务</w:t>
            </w:r>
          </w:p>
        </w:tc>
        <w:tc>
          <w:tcPr>
            <w:tcW w:w="1671" w:type="dxa"/>
            <w:tcBorders>
              <w:tl2br w:val="nil"/>
              <w:tr2bl w:val="nil"/>
            </w:tcBorders>
            <w:vAlign w:val="top"/>
          </w:tcPr>
          <w:p w14:paraId="2971A043">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通过研学旅行等方式，参与旅游资源调查、旅游线路设计、环境保护措施制定等实践任务；运用所学知识和技能，完成旅游资源分析报告、旅游线路设计方案等实践成果</w:t>
            </w:r>
            <w:r>
              <w:rPr>
                <w:rFonts w:hint="eastAsia" w:ascii="仿宋" w:hAnsi="仿宋" w:eastAsia="仿宋" w:cs="仿宋"/>
                <w:kern w:val="0"/>
                <w:sz w:val="24"/>
                <w:szCs w:val="24"/>
                <w:lang w:val="en-US" w:eastAsia="zh-CN"/>
              </w:rPr>
              <w:t>。</w:t>
            </w:r>
          </w:p>
        </w:tc>
        <w:tc>
          <w:tcPr>
            <w:tcW w:w="987" w:type="dxa"/>
            <w:tcBorders>
              <w:tl2br w:val="nil"/>
              <w:tr2bl w:val="nil"/>
            </w:tcBorders>
            <w:vAlign w:val="top"/>
          </w:tcPr>
          <w:p w14:paraId="75E6C5D6">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3F35633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讨论法</w:t>
            </w:r>
          </w:p>
          <w:p w14:paraId="3843AFD6">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3940E5DF">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280" w:type="dxa"/>
            <w:tcBorders>
              <w:tl2br w:val="nil"/>
              <w:tr2bl w:val="nil"/>
            </w:tcBorders>
            <w:vAlign w:val="top"/>
          </w:tcPr>
          <w:p w14:paraId="5F91C182">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571F5F14">
            <w:pPr>
              <w:keepNext w:val="0"/>
              <w:keepLines w:val="0"/>
              <w:suppressLineNumbers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融入</w:t>
            </w:r>
            <w:r>
              <w:rPr>
                <w:rFonts w:hint="default" w:ascii="仿宋" w:hAnsi="仿宋" w:eastAsia="仿宋" w:cs="仿宋"/>
                <w:kern w:val="0"/>
                <w:sz w:val="24"/>
                <w:szCs w:val="24"/>
                <w:lang w:val="en-US" w:eastAsia="zh-CN"/>
              </w:rPr>
              <w:t>社会主义核心价值观教育，通过实践活动培养学生的爱国主义情怀、社会责任感和法治意识。如在研学旅行中遵守法律法规，尊重当地风俗习惯，保护生态环境等。同时，通过实践活动，让学生体会旅游地理知识的实际应用价值，增强学习的针对性和实效性</w:t>
            </w:r>
            <w:r>
              <w:rPr>
                <w:rFonts w:hint="eastAsia" w:ascii="仿宋" w:hAnsi="仿宋" w:eastAsia="仿宋" w:cs="仿宋"/>
                <w:kern w:val="0"/>
                <w:sz w:val="24"/>
                <w:szCs w:val="24"/>
                <w:lang w:val="en-US" w:eastAsia="zh-CN"/>
              </w:rPr>
              <w:t>。</w:t>
            </w:r>
          </w:p>
        </w:tc>
        <w:tc>
          <w:tcPr>
            <w:tcW w:w="462" w:type="dxa"/>
            <w:tcBorders>
              <w:tl2br w:val="nil"/>
              <w:tr2bl w:val="nil"/>
            </w:tcBorders>
            <w:vAlign w:val="center"/>
          </w:tcPr>
          <w:p w14:paraId="018A79AC">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462" w:type="dxa"/>
            <w:tcBorders>
              <w:tl2br w:val="nil"/>
              <w:tr2bl w:val="nil"/>
            </w:tcBorders>
            <w:vAlign w:val="center"/>
          </w:tcPr>
          <w:p w14:paraId="4AD49FDD">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bl>
    <w:p w14:paraId="24A9F7DC">
      <w:pPr>
        <w:pStyle w:val="4"/>
        <w:ind w:firstLine="653"/>
      </w:pPr>
      <w:r>
        <w:rPr>
          <w:rFonts w:hint="eastAsia"/>
        </w:rPr>
        <w:t>七、学习评价</w:t>
      </w:r>
      <w:bookmarkEnd w:id="34"/>
      <w:bookmarkEnd w:id="35"/>
      <w:bookmarkEnd w:id="36"/>
    </w:p>
    <w:p w14:paraId="0C122B27">
      <w:pPr>
        <w:spacing w:line="360" w:lineRule="auto"/>
        <w:ind w:firstLine="560"/>
      </w:pPr>
      <w:r>
        <w:rPr>
          <w:rFonts w:hint="eastAsia"/>
          <w:b/>
          <w:bCs/>
        </w:rPr>
        <w:t>本课程达标要求：</w:t>
      </w:r>
    </w:p>
    <w:p w14:paraId="6F855911">
      <w:pPr>
        <w:ind w:firstLine="480"/>
        <w:jc w:val="center"/>
        <w:rPr>
          <w:rFonts w:ascii="仿宋_GB2312" w:hAnsi="仿宋_GB2312" w:cs="仿宋_GB2312"/>
          <w:b/>
          <w:bCs/>
          <w:sz w:val="24"/>
          <w:szCs w:val="21"/>
          <w:highlight w:val="none"/>
        </w:rPr>
      </w:pPr>
      <w:r>
        <w:rPr>
          <w:rFonts w:hint="eastAsia" w:ascii="仿宋_GB2312" w:hAnsi="仿宋_GB2312" w:cs="仿宋_GB2312"/>
          <w:b/>
          <w:bCs/>
          <w:sz w:val="24"/>
          <w:szCs w:val="21"/>
          <w:highlight w:val="none"/>
        </w:rPr>
        <w:t>表4</w:t>
      </w:r>
      <w:r>
        <w:rPr>
          <w:rFonts w:ascii="仿宋_GB2312" w:hAnsi="仿宋_GB2312" w:cs="仿宋_GB2312"/>
          <w:b/>
          <w:bCs/>
          <w:sz w:val="24"/>
          <w:szCs w:val="21"/>
          <w:highlight w:val="none"/>
        </w:rPr>
        <w:t xml:space="preserve">. </w:t>
      </w:r>
      <w:r>
        <w:rPr>
          <w:rFonts w:hint="eastAsia" w:ascii="仿宋_GB2312" w:hAnsi="仿宋_GB2312" w:cs="仿宋_GB2312"/>
          <w:b/>
          <w:bCs/>
          <w:sz w:val="24"/>
          <w:szCs w:val="21"/>
          <w:highlight w:val="none"/>
        </w:rPr>
        <w:t>学习评价表</w:t>
      </w:r>
    </w:p>
    <w:tbl>
      <w:tblPr>
        <w:tblStyle w:val="18"/>
        <w:tblW w:w="884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1761"/>
        <w:gridCol w:w="3511"/>
        <w:gridCol w:w="1262"/>
        <w:gridCol w:w="675"/>
      </w:tblGrid>
      <w:tr w14:paraId="16327AE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14:paraId="28C9F47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评价环节</w:t>
            </w:r>
          </w:p>
        </w:tc>
        <w:tc>
          <w:tcPr>
            <w:tcW w:w="1197" w:type="dxa"/>
            <w:tcBorders>
              <w:tl2br w:val="nil"/>
              <w:tr2bl w:val="nil"/>
            </w:tcBorders>
            <w:vAlign w:val="center"/>
          </w:tcPr>
          <w:p w14:paraId="1013DDCD">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562EF7E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1761" w:type="dxa"/>
            <w:tcBorders>
              <w:tl2br w:val="nil"/>
              <w:tr2bl w:val="nil"/>
            </w:tcBorders>
            <w:vAlign w:val="center"/>
          </w:tcPr>
          <w:p w14:paraId="2EA213D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3511" w:type="dxa"/>
            <w:tcBorders>
              <w:tl2br w:val="nil"/>
              <w:tr2bl w:val="nil"/>
            </w:tcBorders>
            <w:vAlign w:val="center"/>
          </w:tcPr>
          <w:p w14:paraId="18A10D6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评价标准</w:t>
            </w:r>
          </w:p>
          <w:p w14:paraId="762B4CA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（学习产出合格要求）</w:t>
            </w:r>
          </w:p>
        </w:tc>
        <w:tc>
          <w:tcPr>
            <w:tcW w:w="1262" w:type="dxa"/>
            <w:tcBorders>
              <w:tl2br w:val="nil"/>
              <w:tr2bl w:val="nil"/>
            </w:tcBorders>
            <w:vAlign w:val="center"/>
          </w:tcPr>
          <w:p w14:paraId="19949F1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评价方法</w:t>
            </w:r>
          </w:p>
          <w:p w14:paraId="3998375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（方法、工具、场所）</w:t>
            </w:r>
          </w:p>
        </w:tc>
        <w:tc>
          <w:tcPr>
            <w:tcW w:w="675" w:type="dxa"/>
            <w:tcBorders>
              <w:tl2br w:val="nil"/>
              <w:tr2bl w:val="nil"/>
            </w:tcBorders>
            <w:vAlign w:val="center"/>
          </w:tcPr>
          <w:p w14:paraId="1F63176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占比</w:t>
            </w:r>
          </w:p>
          <w:p w14:paraId="3649A53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w:t>
            </w:r>
          </w:p>
        </w:tc>
      </w:tr>
      <w:tr w14:paraId="6644A75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restart"/>
            <w:tcBorders>
              <w:tl2br w:val="nil"/>
              <w:tr2bl w:val="nil"/>
            </w:tcBorders>
            <w:vAlign w:val="center"/>
          </w:tcPr>
          <w:p w14:paraId="46A4A4BF">
            <w:pPr>
              <w:spacing w:line="240" w:lineRule="auto"/>
              <w:ind w:firstLine="0" w:firstLineChars="0"/>
              <w:jc w:val="center"/>
              <w:rPr>
                <w:rFonts w:hint="eastAsia" w:ascii="仿宋" w:hAnsi="仿宋" w:eastAsia="仿宋" w:cs="仿宋"/>
                <w:b/>
                <w:bCs/>
                <w:sz w:val="24"/>
                <w:szCs w:val="24"/>
              </w:rPr>
            </w:pPr>
          </w:p>
          <w:p w14:paraId="0AAA5C3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b/>
                <w:bCs/>
                <w:sz w:val="24"/>
                <w:szCs w:val="24"/>
              </w:rPr>
              <w:t>过程性评价</w:t>
            </w:r>
          </w:p>
        </w:tc>
        <w:tc>
          <w:tcPr>
            <w:tcW w:w="1197" w:type="dxa"/>
            <w:tcBorders>
              <w:tl2br w:val="nil"/>
              <w:tr2bl w:val="nil"/>
            </w:tcBorders>
            <w:vAlign w:val="center"/>
          </w:tcPr>
          <w:p w14:paraId="083BF5EB">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lang w:val="en-US" w:eastAsia="zh-CN"/>
              </w:rPr>
              <w:t>模块一  认知中国旅游地理</w:t>
            </w:r>
          </w:p>
        </w:tc>
        <w:tc>
          <w:tcPr>
            <w:tcW w:w="1761" w:type="dxa"/>
            <w:tcBorders>
              <w:tl2br w:val="nil"/>
              <w:tr2bl w:val="nil"/>
            </w:tcBorders>
            <w:vAlign w:val="top"/>
          </w:tcPr>
          <w:p w14:paraId="5D391180">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掌握旅游地理学的基本概念和中国旅游地理的基本知识体系</w:t>
            </w:r>
          </w:p>
        </w:tc>
        <w:tc>
          <w:tcPr>
            <w:tcW w:w="3511" w:type="dxa"/>
            <w:tcBorders>
              <w:tl2br w:val="nil"/>
              <w:tr2bl w:val="nil"/>
            </w:tcBorders>
            <w:vAlign w:val="top"/>
          </w:tcPr>
          <w:p w14:paraId="1A2DB70C">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能够准确描述旅游地理学的基本概念，理解中国旅游地理的知识体系，掌握旅游资源分类方法</w:t>
            </w:r>
          </w:p>
        </w:tc>
        <w:tc>
          <w:tcPr>
            <w:tcW w:w="1262" w:type="dxa"/>
            <w:tcBorders>
              <w:tl2br w:val="nil"/>
              <w:tr2bl w:val="nil"/>
            </w:tcBorders>
            <w:vAlign w:val="center"/>
          </w:tcPr>
          <w:p w14:paraId="5DF42E7E">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6EB87527">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1773D81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442" w:type="dxa"/>
            <w:vMerge w:val="continue"/>
            <w:tcBorders>
              <w:tl2br w:val="nil"/>
              <w:tr2bl w:val="nil"/>
            </w:tcBorders>
            <w:vAlign w:val="center"/>
          </w:tcPr>
          <w:p w14:paraId="215EA75A">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77FD9A13">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 xml:space="preserve">模块二  </w:t>
            </w:r>
            <w:r>
              <w:rPr>
                <w:rFonts w:hint="eastAsia" w:ascii="仿宋" w:hAnsi="仿宋" w:eastAsia="仿宋" w:cs="仿宋"/>
                <w:kern w:val="0"/>
                <w:sz w:val="24"/>
                <w:szCs w:val="24"/>
                <w:lang w:val="en-US" w:eastAsia="zh-CN" w:bidi="ar-SA"/>
              </w:rPr>
              <w:t>博览京畿物华胜迹一京华旅游大区</w:t>
            </w:r>
          </w:p>
        </w:tc>
        <w:tc>
          <w:tcPr>
            <w:tcW w:w="1761" w:type="dxa"/>
            <w:tcBorders>
              <w:tl2br w:val="nil"/>
              <w:tr2bl w:val="nil"/>
            </w:tcBorders>
            <w:vAlign w:val="top"/>
          </w:tcPr>
          <w:p w14:paraId="44108118">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熟悉京华旅游大区的地理环境、旅游资源特征和主要旅游线路</w:t>
            </w:r>
          </w:p>
        </w:tc>
        <w:tc>
          <w:tcPr>
            <w:tcW w:w="3511" w:type="dxa"/>
            <w:tcBorders>
              <w:tl2br w:val="nil"/>
              <w:tr2bl w:val="nil"/>
            </w:tcBorders>
            <w:vAlign w:val="top"/>
          </w:tcPr>
          <w:p w14:paraId="24C5DF36">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能够分析京华旅游大区的地理环境特征，列举主要旅游资源类型，设计简单的旅游线路</w:t>
            </w:r>
          </w:p>
        </w:tc>
        <w:tc>
          <w:tcPr>
            <w:tcW w:w="1262" w:type="dxa"/>
            <w:tcBorders>
              <w:tl2br w:val="nil"/>
              <w:tr2bl w:val="nil"/>
            </w:tcBorders>
            <w:vAlign w:val="center"/>
          </w:tcPr>
          <w:p w14:paraId="643FB05A">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5B4C46E9">
            <w:pPr>
              <w:spacing w:line="240" w:lineRule="auto"/>
              <w:ind w:firstLine="0" w:firstLineChars="0"/>
              <w:jc w:val="center"/>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10%</w:t>
            </w:r>
          </w:p>
        </w:tc>
      </w:tr>
      <w:tr w14:paraId="2C2137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42975F90">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D75B1EB">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  拾趣关东白山黑水一东北旅游大区</w:t>
            </w:r>
          </w:p>
        </w:tc>
        <w:tc>
          <w:tcPr>
            <w:tcW w:w="1761" w:type="dxa"/>
            <w:tcBorders>
              <w:tl2br w:val="nil"/>
              <w:tr2bl w:val="nil"/>
            </w:tcBorders>
            <w:vAlign w:val="top"/>
          </w:tcPr>
          <w:p w14:paraId="5F2163EB">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分析东北旅游大区的旅游资源特色和旅游市场特点</w:t>
            </w:r>
          </w:p>
        </w:tc>
        <w:tc>
          <w:tcPr>
            <w:tcW w:w="3511" w:type="dxa"/>
            <w:tcBorders>
              <w:tl2br w:val="nil"/>
              <w:tr2bl w:val="nil"/>
            </w:tcBorders>
            <w:vAlign w:val="top"/>
          </w:tcPr>
          <w:p w14:paraId="32D653AB">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能够分析东北旅游大区的旅游资源特色，理解旅游市场特点，提出旅游市场开发建议</w:t>
            </w:r>
            <w:r>
              <w:rPr>
                <w:rFonts w:hint="eastAsia" w:ascii="仿宋" w:hAnsi="仿宋" w:eastAsia="仿宋" w:cs="仿宋"/>
                <w:kern w:val="0"/>
                <w:sz w:val="24"/>
                <w:szCs w:val="24"/>
                <w:lang w:val="en-US" w:eastAsia="zh-CN"/>
              </w:rPr>
              <w:t>，冰雪旅游抖音营销方案策划</w:t>
            </w:r>
          </w:p>
        </w:tc>
        <w:tc>
          <w:tcPr>
            <w:tcW w:w="1262" w:type="dxa"/>
            <w:tcBorders>
              <w:tl2br w:val="nil"/>
              <w:tr2bl w:val="nil"/>
            </w:tcBorders>
            <w:vAlign w:val="center"/>
          </w:tcPr>
          <w:p w14:paraId="783CA926">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6AD26C19">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277835C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7FDE6AF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80220CA">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 xml:space="preserve">模块四  </w:t>
            </w:r>
            <w:r>
              <w:rPr>
                <w:rFonts w:hint="eastAsia" w:ascii="仿宋" w:hAnsi="仿宋" w:eastAsia="仿宋" w:cs="仿宋"/>
                <w:sz w:val="24"/>
                <w:szCs w:val="24"/>
                <w:lang w:val="en-US" w:eastAsia="zh-CN"/>
              </w:rPr>
              <w:t>寻觅塞外丝路古迹一西北旅游大区</w:t>
            </w:r>
          </w:p>
        </w:tc>
        <w:tc>
          <w:tcPr>
            <w:tcW w:w="1761" w:type="dxa"/>
            <w:tcBorders>
              <w:tl2br w:val="nil"/>
              <w:tr2bl w:val="nil"/>
            </w:tcBorders>
            <w:vAlign w:val="top"/>
          </w:tcPr>
          <w:p w14:paraId="20A33112">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评估西北旅游大区的旅游资源价值和开发潜力</w:t>
            </w:r>
          </w:p>
        </w:tc>
        <w:tc>
          <w:tcPr>
            <w:tcW w:w="3511" w:type="dxa"/>
            <w:tcBorders>
              <w:tl2br w:val="nil"/>
              <w:tr2bl w:val="nil"/>
            </w:tcBorders>
            <w:vAlign w:val="top"/>
          </w:tcPr>
          <w:p w14:paraId="656814B8">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能够运用旅游资源评价方法，评估西北旅游大区的旅游资源价值，提出开发潜力分析</w:t>
            </w:r>
          </w:p>
        </w:tc>
        <w:tc>
          <w:tcPr>
            <w:tcW w:w="1262" w:type="dxa"/>
            <w:tcBorders>
              <w:tl2br w:val="nil"/>
              <w:tr2bl w:val="nil"/>
            </w:tcBorders>
            <w:vAlign w:val="center"/>
          </w:tcPr>
          <w:p w14:paraId="388F2A5F">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76A72356">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4D3FE02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664145D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59F766F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 xml:space="preserve">模块五  </w:t>
            </w:r>
            <w:r>
              <w:rPr>
                <w:rFonts w:hint="eastAsia" w:ascii="仿宋" w:hAnsi="仿宋" w:eastAsia="仿宋" w:cs="仿宋"/>
                <w:kern w:val="0"/>
                <w:sz w:val="24"/>
                <w:szCs w:val="24"/>
                <w:lang w:val="en-US" w:eastAsia="zh-CN" w:bidi="ar-SA"/>
              </w:rPr>
              <w:t>寻根华夏古都文明一华北旅游大区</w:t>
            </w:r>
          </w:p>
        </w:tc>
        <w:tc>
          <w:tcPr>
            <w:tcW w:w="1761" w:type="dxa"/>
            <w:tcBorders>
              <w:tl2br w:val="nil"/>
              <w:tr2bl w:val="nil"/>
            </w:tcBorders>
            <w:vAlign w:val="top"/>
          </w:tcPr>
          <w:p w14:paraId="1C51BA37">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掌握华北旅游大区的主要旅游资源类型和特征</w:t>
            </w:r>
          </w:p>
        </w:tc>
        <w:tc>
          <w:tcPr>
            <w:tcW w:w="3511" w:type="dxa"/>
            <w:tcBorders>
              <w:tl2br w:val="nil"/>
              <w:tr2bl w:val="nil"/>
            </w:tcBorders>
            <w:vAlign w:val="top"/>
          </w:tcPr>
          <w:p w14:paraId="37E97301">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能够列举华北旅游大区的主要旅游资源类型，描述其特征，理解其在旅游市场中的地位</w:t>
            </w:r>
          </w:p>
        </w:tc>
        <w:tc>
          <w:tcPr>
            <w:tcW w:w="1262" w:type="dxa"/>
            <w:tcBorders>
              <w:tl2br w:val="nil"/>
              <w:tr2bl w:val="nil"/>
            </w:tcBorders>
            <w:vAlign w:val="center"/>
          </w:tcPr>
          <w:p w14:paraId="29BFA1C6">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1C9A88C2">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3ACBAA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442" w:type="dxa"/>
            <w:vMerge w:val="continue"/>
            <w:tcBorders>
              <w:tl2br w:val="nil"/>
              <w:tr2bl w:val="nil"/>
            </w:tcBorders>
          </w:tcPr>
          <w:p w14:paraId="669CCA84">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70849697">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lang w:val="en-US" w:eastAsia="zh-CN"/>
              </w:rPr>
              <w:t>模块六  体验高山峡谷风情一西南旅游大区</w:t>
            </w:r>
          </w:p>
        </w:tc>
        <w:tc>
          <w:tcPr>
            <w:tcW w:w="1761" w:type="dxa"/>
            <w:tcBorders>
              <w:tl2br w:val="nil"/>
              <w:tr2bl w:val="nil"/>
            </w:tcBorders>
            <w:vAlign w:val="top"/>
          </w:tcPr>
          <w:p w14:paraId="257C1742">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设计西南旅游大区的旅游线路和旅游产品</w:t>
            </w:r>
          </w:p>
        </w:tc>
        <w:tc>
          <w:tcPr>
            <w:tcW w:w="3511" w:type="dxa"/>
            <w:tcBorders>
              <w:tl2br w:val="nil"/>
              <w:tr2bl w:val="nil"/>
            </w:tcBorders>
            <w:vAlign w:val="top"/>
          </w:tcPr>
          <w:p w14:paraId="3C3A2F62">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能够根据西南旅游大区的旅游资源特点，设计具有吸引力的旅游线路和旅游产品</w:t>
            </w:r>
          </w:p>
        </w:tc>
        <w:tc>
          <w:tcPr>
            <w:tcW w:w="1262" w:type="dxa"/>
            <w:tcBorders>
              <w:tl2br w:val="nil"/>
              <w:tr2bl w:val="nil"/>
            </w:tcBorders>
            <w:vAlign w:val="center"/>
          </w:tcPr>
          <w:p w14:paraId="71A91919">
            <w:pPr>
              <w:spacing w:line="240" w:lineRule="auto"/>
              <w:ind w:left="0" w:leftChars="0" w:firstLine="0" w:firstLineChars="0"/>
              <w:jc w:val="center"/>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1D64D2DB">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33A8F0B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2FB5CCE3">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3C6282A7">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模块七  感悟两湖荆楚文化一华中旅游大区</w:t>
            </w:r>
          </w:p>
        </w:tc>
        <w:tc>
          <w:tcPr>
            <w:tcW w:w="1761" w:type="dxa"/>
            <w:tcBorders>
              <w:tl2br w:val="nil"/>
              <w:tr2bl w:val="nil"/>
            </w:tcBorders>
            <w:vAlign w:val="top"/>
          </w:tcPr>
          <w:p w14:paraId="623EF581">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了解华中旅游大区的旅游交通和旅游设施状况</w:t>
            </w:r>
          </w:p>
        </w:tc>
        <w:tc>
          <w:tcPr>
            <w:tcW w:w="3511" w:type="dxa"/>
            <w:tcBorders>
              <w:tl2br w:val="nil"/>
              <w:tr2bl w:val="nil"/>
            </w:tcBorders>
            <w:vAlign w:val="top"/>
          </w:tcPr>
          <w:p w14:paraId="6B595025">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能够描述华中旅游大区的旅游交通网络，分析旅游设施状况，提出改进建议</w:t>
            </w:r>
          </w:p>
        </w:tc>
        <w:tc>
          <w:tcPr>
            <w:tcW w:w="1262" w:type="dxa"/>
            <w:tcBorders>
              <w:tl2br w:val="nil"/>
              <w:tr2bl w:val="nil"/>
            </w:tcBorders>
            <w:vAlign w:val="center"/>
          </w:tcPr>
          <w:p w14:paraId="2911ACA3">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4949124B">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3127F18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01923C14">
            <w:pPr>
              <w:spacing w:line="240" w:lineRule="auto"/>
              <w:ind w:firstLine="0" w:firstLineChars="0"/>
              <w:rPr>
                <w:rFonts w:hint="eastAsia" w:ascii="仿宋" w:hAnsi="仿宋" w:eastAsia="仿宋" w:cs="仿宋"/>
                <w:sz w:val="24"/>
                <w:szCs w:val="24"/>
              </w:rPr>
            </w:pPr>
            <w:bookmarkStart w:id="37" w:name="_Toc18233"/>
            <w:bookmarkStart w:id="38" w:name="_Toc502337268"/>
          </w:p>
        </w:tc>
        <w:tc>
          <w:tcPr>
            <w:tcW w:w="1197" w:type="dxa"/>
            <w:tcBorders>
              <w:tl2br w:val="nil"/>
              <w:tr2bl w:val="nil"/>
            </w:tcBorders>
            <w:vAlign w:val="center"/>
          </w:tcPr>
          <w:p w14:paraId="432FFB58">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模块八  漫游吴越诗画江南一华东旅游大区</w:t>
            </w:r>
          </w:p>
        </w:tc>
        <w:tc>
          <w:tcPr>
            <w:tcW w:w="1761" w:type="dxa"/>
            <w:tcBorders>
              <w:tl2br w:val="nil"/>
              <w:tr2bl w:val="nil"/>
            </w:tcBorders>
            <w:vAlign w:val="top"/>
          </w:tcPr>
          <w:p w14:paraId="2090BA78">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探讨华东旅游大区的旅游可持续发展策略</w:t>
            </w:r>
          </w:p>
        </w:tc>
        <w:tc>
          <w:tcPr>
            <w:tcW w:w="3511" w:type="dxa"/>
            <w:tcBorders>
              <w:tl2br w:val="nil"/>
              <w:tr2bl w:val="nil"/>
            </w:tcBorders>
            <w:vAlign w:val="top"/>
          </w:tcPr>
          <w:p w14:paraId="737BB5C1">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能够分析华东旅游大区的旅游可持续发展现状，提出具体的可持续发展策略</w:t>
            </w:r>
            <w:r>
              <w:rPr>
                <w:rFonts w:hint="eastAsia" w:ascii="仿宋" w:hAnsi="仿宋" w:eastAsia="仿宋" w:cs="仿宋"/>
                <w:kern w:val="0"/>
                <w:sz w:val="24"/>
                <w:szCs w:val="24"/>
                <w:lang w:val="en-US" w:eastAsia="zh-CN"/>
              </w:rPr>
              <w:t>，长三角文旅消费大数据分析报告</w:t>
            </w:r>
          </w:p>
        </w:tc>
        <w:tc>
          <w:tcPr>
            <w:tcW w:w="1262" w:type="dxa"/>
            <w:tcBorders>
              <w:tl2br w:val="nil"/>
              <w:tr2bl w:val="nil"/>
            </w:tcBorders>
            <w:vAlign w:val="center"/>
          </w:tcPr>
          <w:p w14:paraId="2DD0AC54">
            <w:pPr>
              <w:spacing w:line="240" w:lineRule="auto"/>
              <w:ind w:firstLine="0" w:firstLineChars="0"/>
              <w:jc w:val="center"/>
              <w:rPr>
                <w:rFonts w:hint="default"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考察评价</w:t>
            </w:r>
          </w:p>
        </w:tc>
        <w:tc>
          <w:tcPr>
            <w:tcW w:w="675" w:type="dxa"/>
            <w:tcBorders>
              <w:tl2br w:val="nil"/>
              <w:tr2bl w:val="nil"/>
            </w:tcBorders>
            <w:vAlign w:val="center"/>
          </w:tcPr>
          <w:p w14:paraId="28353D24">
            <w:pPr>
              <w:spacing w:line="240" w:lineRule="auto"/>
              <w:ind w:firstLine="0" w:firstLineChars="0"/>
              <w:jc w:val="center"/>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10%</w:t>
            </w:r>
          </w:p>
        </w:tc>
      </w:tr>
      <w:tr w14:paraId="19964AD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tcBorders>
              <w:tl2br w:val="nil"/>
              <w:tr2bl w:val="nil"/>
            </w:tcBorders>
          </w:tcPr>
          <w:p w14:paraId="3ED5CAF8">
            <w:pPr>
              <w:spacing w:line="240" w:lineRule="auto"/>
              <w:ind w:firstLine="0" w:firstLineChars="0"/>
              <w:rPr>
                <w:rFonts w:hint="eastAsia" w:ascii="仿宋" w:hAnsi="仿宋" w:eastAsia="仿宋" w:cs="仿宋"/>
                <w:sz w:val="24"/>
                <w:szCs w:val="24"/>
              </w:rPr>
            </w:pPr>
            <w:bookmarkStart w:id="39" w:name="_Toc20745"/>
          </w:p>
        </w:tc>
        <w:tc>
          <w:tcPr>
            <w:tcW w:w="1197" w:type="dxa"/>
            <w:tcBorders>
              <w:tl2br w:val="nil"/>
              <w:tr2bl w:val="nil"/>
            </w:tcBorders>
            <w:vAlign w:val="center"/>
          </w:tcPr>
          <w:p w14:paraId="44FF476B">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模块九  领略岭南山海侨乡一华南旅游大区</w:t>
            </w:r>
          </w:p>
        </w:tc>
        <w:tc>
          <w:tcPr>
            <w:tcW w:w="1761" w:type="dxa"/>
            <w:tcBorders>
              <w:tl2br w:val="nil"/>
              <w:tr2bl w:val="nil"/>
            </w:tcBorders>
            <w:vAlign w:val="top"/>
          </w:tcPr>
          <w:p w14:paraId="407A5DC7">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深入分析华南旅游大区的旅游发展案例</w:t>
            </w:r>
          </w:p>
        </w:tc>
        <w:tc>
          <w:tcPr>
            <w:tcW w:w="3511" w:type="dxa"/>
            <w:tcBorders>
              <w:tl2br w:val="nil"/>
              <w:tr2bl w:val="nil"/>
            </w:tcBorders>
            <w:vAlign w:val="top"/>
          </w:tcPr>
          <w:p w14:paraId="46BB7A81">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能够选择华南旅游大区的一个典型旅游发展案例，进行深入分析，提出改进建议</w:t>
            </w:r>
          </w:p>
        </w:tc>
        <w:tc>
          <w:tcPr>
            <w:tcW w:w="1262" w:type="dxa"/>
            <w:tcBorders>
              <w:tl2br w:val="nil"/>
              <w:tr2bl w:val="nil"/>
            </w:tcBorders>
            <w:shd w:val="clear" w:color="auto" w:fill="auto"/>
            <w:vAlign w:val="center"/>
          </w:tcPr>
          <w:p w14:paraId="4C148BAB">
            <w:pPr>
              <w:spacing w:line="240" w:lineRule="auto"/>
              <w:ind w:firstLine="0" w:firstLineChars="0"/>
              <w:jc w:val="center"/>
              <w:rPr>
                <w:rFonts w:hint="eastAsia" w:ascii="仿宋" w:hAnsi="仿宋" w:eastAsia="仿宋" w:cs="仿宋"/>
                <w:color w:val="auto"/>
                <w:kern w:val="0"/>
                <w:sz w:val="24"/>
                <w:szCs w:val="24"/>
                <w:lang w:val="en-US" w:eastAsia="zh-CN" w:bidi="ar-SA"/>
              </w:rPr>
            </w:pPr>
            <w:r>
              <w:rPr>
                <w:rFonts w:hint="eastAsia" w:ascii="仿宋" w:hAnsi="仿宋" w:eastAsia="仿宋" w:cs="仿宋"/>
                <w:color w:val="auto"/>
                <w:kern w:val="0"/>
                <w:sz w:val="24"/>
                <w:szCs w:val="24"/>
                <w:lang w:val="en-US" w:eastAsia="zh-CN"/>
              </w:rPr>
              <w:t>考察评价</w:t>
            </w:r>
          </w:p>
        </w:tc>
        <w:tc>
          <w:tcPr>
            <w:tcW w:w="675" w:type="dxa"/>
            <w:tcBorders>
              <w:tl2br w:val="nil"/>
              <w:tr2bl w:val="nil"/>
            </w:tcBorders>
            <w:shd w:val="clear" w:color="auto" w:fill="auto"/>
            <w:vAlign w:val="center"/>
          </w:tcPr>
          <w:p w14:paraId="22257C55">
            <w:pPr>
              <w:spacing w:line="240" w:lineRule="auto"/>
              <w:ind w:firstLine="0" w:firstLineChars="0"/>
              <w:jc w:val="center"/>
              <w:rPr>
                <w:rFonts w:hint="eastAsia" w:ascii="仿宋" w:hAnsi="仿宋" w:eastAsia="仿宋" w:cs="仿宋"/>
                <w:kern w:val="2"/>
                <w:sz w:val="24"/>
                <w:szCs w:val="24"/>
                <w:lang w:val="en-US" w:eastAsia="zh-CN" w:bidi="ar-SA"/>
              </w:rPr>
            </w:pPr>
            <w:r>
              <w:rPr>
                <w:rFonts w:hint="default" w:ascii="仿宋" w:hAnsi="仿宋" w:eastAsia="仿宋" w:cs="仿宋"/>
                <w:sz w:val="24"/>
                <w:szCs w:val="24"/>
                <w:lang w:val="en-US" w:eastAsia="zh-CN"/>
              </w:rPr>
              <w:t>10%</w:t>
            </w:r>
          </w:p>
        </w:tc>
      </w:tr>
      <w:tr w14:paraId="4775EB7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tcBorders>
              <w:tl2br w:val="nil"/>
              <w:tr2bl w:val="nil"/>
            </w:tcBorders>
          </w:tcPr>
          <w:p w14:paraId="548F05F2">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1D92DCF4">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  探秘屋脊雪域藏乡--青藏旅游大区</w:t>
            </w:r>
          </w:p>
        </w:tc>
        <w:tc>
          <w:tcPr>
            <w:tcW w:w="1761" w:type="dxa"/>
            <w:tcBorders>
              <w:tl2br w:val="nil"/>
              <w:tr2bl w:val="nil"/>
            </w:tcBorders>
            <w:vAlign w:val="top"/>
          </w:tcPr>
          <w:p w14:paraId="204CAB58">
            <w:pPr>
              <w:spacing w:line="240" w:lineRule="auto"/>
              <w:ind w:left="0" w:leftChars="0" w:firstLine="0" w:firstLineChars="0"/>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完成旅游资源分析报告、旅游线路设计方案等实践任务</w:t>
            </w:r>
          </w:p>
        </w:tc>
        <w:tc>
          <w:tcPr>
            <w:tcW w:w="3511" w:type="dxa"/>
            <w:tcBorders>
              <w:tl2br w:val="nil"/>
              <w:tr2bl w:val="nil"/>
            </w:tcBorders>
            <w:vAlign w:val="top"/>
          </w:tcPr>
          <w:p w14:paraId="0331406C">
            <w:pPr>
              <w:spacing w:line="240" w:lineRule="auto"/>
              <w:ind w:left="0" w:lef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能够独立完成旅游资源分析报告，设计合理的旅游线路方案，体现创新性和实用性</w:t>
            </w:r>
            <w:r>
              <w:rPr>
                <w:rFonts w:hint="eastAsia" w:ascii="仿宋" w:hAnsi="仿宋" w:eastAsia="仿宋" w:cs="仿宋"/>
                <w:kern w:val="0"/>
                <w:sz w:val="24"/>
                <w:szCs w:val="24"/>
                <w:lang w:val="en-US" w:eastAsia="zh-CN"/>
              </w:rPr>
              <w:t>，研学旅行AR导览方案设计</w:t>
            </w:r>
            <w:bookmarkStart w:id="56" w:name="_GoBack"/>
            <w:bookmarkEnd w:id="56"/>
          </w:p>
        </w:tc>
        <w:tc>
          <w:tcPr>
            <w:tcW w:w="1262" w:type="dxa"/>
            <w:tcBorders>
              <w:tl2br w:val="nil"/>
              <w:tr2bl w:val="nil"/>
            </w:tcBorders>
            <w:shd w:val="clear" w:color="auto" w:fill="auto"/>
            <w:vAlign w:val="center"/>
          </w:tcPr>
          <w:p w14:paraId="113C2660">
            <w:pPr>
              <w:spacing w:line="240" w:lineRule="auto"/>
              <w:ind w:firstLine="0" w:firstLineChars="0"/>
              <w:jc w:val="center"/>
              <w:rPr>
                <w:rFonts w:hint="eastAsia" w:ascii="仿宋" w:hAnsi="仿宋" w:eastAsia="仿宋" w:cs="仿宋"/>
                <w:color w:val="auto"/>
                <w:kern w:val="0"/>
                <w:sz w:val="24"/>
                <w:szCs w:val="24"/>
                <w:lang w:val="en-US" w:eastAsia="zh-CN" w:bidi="ar-SA"/>
              </w:rPr>
            </w:pPr>
            <w:r>
              <w:rPr>
                <w:rFonts w:hint="eastAsia" w:ascii="仿宋" w:hAnsi="仿宋" w:eastAsia="仿宋" w:cs="仿宋"/>
                <w:color w:val="auto"/>
                <w:kern w:val="0"/>
                <w:sz w:val="24"/>
                <w:szCs w:val="24"/>
                <w:lang w:val="en-US" w:eastAsia="zh-CN"/>
              </w:rPr>
              <w:t>考察评价</w:t>
            </w:r>
          </w:p>
        </w:tc>
        <w:tc>
          <w:tcPr>
            <w:tcW w:w="675" w:type="dxa"/>
            <w:tcBorders>
              <w:tl2br w:val="nil"/>
              <w:tr2bl w:val="nil"/>
            </w:tcBorders>
            <w:shd w:val="clear" w:color="auto" w:fill="auto"/>
            <w:vAlign w:val="center"/>
          </w:tcPr>
          <w:p w14:paraId="4FDC40FB">
            <w:pPr>
              <w:spacing w:line="240" w:lineRule="auto"/>
              <w:ind w:firstLine="0" w:firstLineChars="0"/>
              <w:jc w:val="center"/>
              <w:rPr>
                <w:rFonts w:hint="eastAsia" w:ascii="仿宋" w:hAnsi="仿宋" w:eastAsia="仿宋" w:cs="仿宋"/>
                <w:kern w:val="2"/>
                <w:sz w:val="24"/>
                <w:szCs w:val="24"/>
                <w:lang w:val="en-US" w:eastAsia="zh-CN" w:bidi="ar-SA"/>
              </w:rPr>
            </w:pPr>
            <w:r>
              <w:rPr>
                <w:rFonts w:hint="default" w:ascii="仿宋" w:hAnsi="仿宋" w:eastAsia="仿宋" w:cs="仿宋"/>
                <w:sz w:val="24"/>
                <w:szCs w:val="24"/>
                <w:lang w:val="en-US" w:eastAsia="zh-CN"/>
              </w:rPr>
              <w:t>10%</w:t>
            </w:r>
          </w:p>
        </w:tc>
      </w:tr>
    </w:tbl>
    <w:p w14:paraId="1A544E42">
      <w:pPr>
        <w:pStyle w:val="4"/>
        <w:ind w:firstLine="653"/>
      </w:pPr>
      <w:r>
        <w:rPr>
          <w:rFonts w:hint="eastAsia"/>
        </w:rPr>
        <w:t>八、教学资源</w:t>
      </w:r>
      <w:bookmarkEnd w:id="37"/>
      <w:bookmarkEnd w:id="38"/>
      <w:bookmarkEnd w:id="39"/>
    </w:p>
    <w:p w14:paraId="5857D757">
      <w:pPr>
        <w:pStyle w:val="5"/>
        <w:ind w:firstLine="560"/>
        <w:rPr>
          <w:rFonts w:hint="eastAsia"/>
        </w:rPr>
      </w:pPr>
      <w:bookmarkStart w:id="40" w:name="_Toc20587"/>
      <w:bookmarkStart w:id="41" w:name="_Toc1991"/>
      <w:r>
        <w:rPr>
          <w:rFonts w:hint="eastAsia"/>
        </w:rPr>
        <w:t>（一）主要参考教材</w:t>
      </w:r>
      <w:bookmarkEnd w:id="40"/>
      <w:bookmarkEnd w:id="41"/>
    </w:p>
    <w:p w14:paraId="1D0F5D3D">
      <w:pPr>
        <w:bidi w:val="0"/>
        <w:rPr>
          <w:rFonts w:hint="eastAsia"/>
        </w:rPr>
      </w:pPr>
      <w:r>
        <w:rPr>
          <w:rFonts w:hint="eastAsia"/>
          <w:lang w:val="en-US" w:eastAsia="zh-CN"/>
        </w:rPr>
        <w:t>1.王洪国，李娟文</w:t>
      </w:r>
      <w:r>
        <w:rPr>
          <w:rFonts w:hint="eastAsia"/>
        </w:rPr>
        <w:t>. 《</w:t>
      </w:r>
      <w:r>
        <w:rPr>
          <w:rFonts w:hint="eastAsia"/>
          <w:lang w:val="en-US" w:eastAsia="zh-CN"/>
        </w:rPr>
        <w:t>中国旅游地理</w:t>
      </w:r>
      <w:r>
        <w:rPr>
          <w:rFonts w:hint="eastAsia"/>
        </w:rPr>
        <w:t>》</w:t>
      </w:r>
      <w:r>
        <w:rPr>
          <w:rFonts w:hint="eastAsia"/>
          <w:lang w:val="en-US" w:eastAsia="zh-CN"/>
        </w:rPr>
        <w:t xml:space="preserve"> </w:t>
      </w:r>
      <w:r>
        <w:rPr>
          <w:rFonts w:hint="eastAsia"/>
        </w:rPr>
        <w:t xml:space="preserve">[M]. </w:t>
      </w:r>
      <w:r>
        <w:rPr>
          <w:rFonts w:hint="eastAsia"/>
          <w:lang w:val="en-US" w:eastAsia="zh-CN"/>
        </w:rPr>
        <w:t>东北财经大学</w:t>
      </w:r>
      <w:r>
        <w:rPr>
          <w:rFonts w:hint="eastAsia"/>
        </w:rPr>
        <w:t>出版社，20</w:t>
      </w:r>
      <w:r>
        <w:rPr>
          <w:rFonts w:hint="eastAsia"/>
          <w:lang w:val="en-US" w:eastAsia="zh-CN"/>
        </w:rPr>
        <w:t>24</w:t>
      </w:r>
      <w:r>
        <w:rPr>
          <w:rFonts w:hint="eastAsia"/>
        </w:rPr>
        <w:t>.</w:t>
      </w:r>
    </w:p>
    <w:p w14:paraId="0A4AE3D8">
      <w:pPr>
        <w:pStyle w:val="5"/>
        <w:numPr>
          <w:ilvl w:val="0"/>
          <w:numId w:val="6"/>
        </w:numPr>
        <w:ind w:firstLine="560"/>
        <w:rPr>
          <w:rFonts w:hint="eastAsia"/>
        </w:rPr>
      </w:pPr>
      <w:bookmarkStart w:id="42" w:name="_Toc29665"/>
      <w:bookmarkStart w:id="43" w:name="_Toc23228"/>
      <w:r>
        <w:rPr>
          <w:rFonts w:hint="eastAsia"/>
        </w:rPr>
        <w:t>其他参考资料</w:t>
      </w:r>
      <w:bookmarkEnd w:id="42"/>
      <w:bookmarkEnd w:id="43"/>
    </w:p>
    <w:p w14:paraId="6B669988">
      <w:pPr>
        <w:bidi w:val="0"/>
        <w:rPr>
          <w:rFonts w:hint="eastAsia"/>
        </w:rPr>
      </w:pPr>
      <w:r>
        <w:rPr>
          <w:rFonts w:hint="eastAsia"/>
          <w:lang w:val="en-US" w:eastAsia="zh-CN"/>
        </w:rPr>
        <w:t>1.刘琼英</w:t>
      </w:r>
      <w:r>
        <w:rPr>
          <w:rFonts w:hint="eastAsia"/>
        </w:rPr>
        <w:t>. 《</w:t>
      </w:r>
      <w:r>
        <w:rPr>
          <w:rFonts w:hint="eastAsia"/>
          <w:lang w:val="en-US" w:eastAsia="zh-CN"/>
        </w:rPr>
        <w:t>中国旅游地理</w:t>
      </w:r>
      <w:r>
        <w:rPr>
          <w:rFonts w:hint="eastAsia"/>
        </w:rPr>
        <w:t>》</w:t>
      </w:r>
      <w:r>
        <w:rPr>
          <w:rFonts w:hint="eastAsia"/>
          <w:lang w:val="en-US" w:eastAsia="zh-CN"/>
        </w:rPr>
        <w:t xml:space="preserve"> </w:t>
      </w:r>
      <w:r>
        <w:rPr>
          <w:rFonts w:hint="eastAsia"/>
        </w:rPr>
        <w:t xml:space="preserve">[M]. </w:t>
      </w:r>
      <w:r>
        <w:rPr>
          <w:rFonts w:hint="eastAsia"/>
          <w:lang w:val="en-US" w:eastAsia="zh-CN"/>
        </w:rPr>
        <w:t>上海交通大学</w:t>
      </w:r>
      <w:r>
        <w:rPr>
          <w:rFonts w:hint="eastAsia"/>
        </w:rPr>
        <w:t>出版社，20</w:t>
      </w:r>
      <w:r>
        <w:rPr>
          <w:rFonts w:hint="eastAsia"/>
          <w:lang w:val="en-US" w:eastAsia="zh-CN"/>
        </w:rPr>
        <w:t>24</w:t>
      </w:r>
      <w:r>
        <w:rPr>
          <w:rFonts w:hint="eastAsia"/>
        </w:rPr>
        <w:t>.</w:t>
      </w:r>
    </w:p>
    <w:p w14:paraId="3A435705">
      <w:pPr>
        <w:pStyle w:val="5"/>
        <w:ind w:firstLine="560"/>
      </w:pPr>
      <w:bookmarkStart w:id="44" w:name="_Toc21776"/>
      <w:bookmarkStart w:id="45" w:name="_Toc6077"/>
      <w:r>
        <w:rPr>
          <w:rFonts w:hint="eastAsia"/>
        </w:rPr>
        <w:t>（三）实训条件</w:t>
      </w:r>
      <w:bookmarkEnd w:id="44"/>
      <w:bookmarkEnd w:id="45"/>
    </w:p>
    <w:p w14:paraId="48307A5F">
      <w:pPr>
        <w:bidi w:val="0"/>
        <w:rPr>
          <w:rFonts w:hint="eastAsia" w:ascii="仿宋" w:hAnsi="仿宋" w:eastAsia="仿宋" w:cs="仿宋"/>
          <w:color w:val="auto"/>
          <w:sz w:val="30"/>
          <w:szCs w:val="30"/>
        </w:rPr>
      </w:pPr>
      <w:bookmarkStart w:id="46" w:name="_Toc29888"/>
      <w:r>
        <w:rPr>
          <w:rFonts w:hint="eastAsia" w:ascii="仿宋_GB2312" w:hAnsi="仿宋_GB2312" w:eastAsia="仿宋_GB2312" w:cs="仿宋_GB2312"/>
          <w:color w:val="auto"/>
          <w:sz w:val="30"/>
          <w:szCs w:val="30"/>
        </w:rPr>
        <w:t>1.硬件设施：</w:t>
      </w:r>
      <w:r>
        <w:rPr>
          <w:rFonts w:hint="eastAsia" w:ascii="仿宋" w:hAnsi="仿宋" w:eastAsia="仿宋" w:cs="仿宋"/>
          <w:color w:val="auto"/>
          <w:sz w:val="30"/>
          <w:szCs w:val="30"/>
        </w:rPr>
        <w:t>小组讨论室、多媒体教室</w:t>
      </w:r>
    </w:p>
    <w:p w14:paraId="0C62A66E">
      <w:pPr>
        <w:bidi w:val="0"/>
        <w:rPr>
          <w:rFonts w:hint="eastAsia" w:ascii="仿宋" w:hAnsi="仿宋" w:eastAsia="仿宋" w:cs="仿宋"/>
          <w:color w:val="auto"/>
          <w:sz w:val="30"/>
          <w:szCs w:val="30"/>
        </w:rPr>
      </w:pPr>
      <w:r>
        <w:rPr>
          <w:rFonts w:hint="eastAsia" w:ascii="仿宋_GB2312" w:hAnsi="仿宋_GB2312" w:eastAsia="仿宋_GB2312" w:cs="仿宋_GB2312"/>
          <w:color w:val="auto"/>
          <w:sz w:val="30"/>
          <w:szCs w:val="30"/>
        </w:rPr>
        <w:t>2.软件设施：</w:t>
      </w:r>
      <w:r>
        <w:rPr>
          <w:rFonts w:hint="eastAsia" w:ascii="仿宋" w:hAnsi="仿宋" w:eastAsia="仿宋" w:cs="仿宋"/>
          <w:color w:val="auto"/>
          <w:sz w:val="30"/>
          <w:szCs w:val="30"/>
        </w:rPr>
        <w:t>多媒体软件</w:t>
      </w:r>
    </w:p>
    <w:p w14:paraId="4496511E">
      <w:pPr>
        <w:pStyle w:val="5"/>
        <w:ind w:firstLine="560"/>
        <w:rPr>
          <w:rFonts w:hint="eastAsia"/>
        </w:rPr>
      </w:pPr>
      <w:bookmarkStart w:id="47" w:name="_Toc97"/>
      <w:r>
        <w:rPr>
          <w:rFonts w:hint="eastAsia"/>
        </w:rPr>
        <w:t>（四）信息化教学资源</w:t>
      </w:r>
      <w:bookmarkEnd w:id="46"/>
      <w:bookmarkEnd w:id="47"/>
    </w:p>
    <w:p w14:paraId="34A1C4FF">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pPr>
      <w:r>
        <w:rPr>
          <w:rFonts w:hint="eastAsia" w:ascii="仿宋_GB2312" w:hAnsi="宋体" w:eastAsia="仿宋_GB2312" w:cs="宋体"/>
          <w:kern w:val="0"/>
          <w:sz w:val="28"/>
          <w:szCs w:val="28"/>
          <w:lang w:val="en-US" w:eastAsia="zh-CN"/>
        </w:rPr>
        <w:t>PPT、慕课</w:t>
      </w:r>
      <w:r>
        <w:rPr>
          <w:rFonts w:hint="eastAsia" w:ascii="仿宋_GB2312" w:hAnsi="宋体" w:cs="宋体"/>
          <w:kern w:val="0"/>
          <w:sz w:val="28"/>
          <w:szCs w:val="28"/>
          <w:lang w:val="en-US" w:eastAsia="zh-CN"/>
        </w:rPr>
        <w:t>、</w:t>
      </w:r>
      <w:r>
        <w:rPr>
          <w:rFonts w:hint="eastAsia" w:ascii="仿宋_GB2312" w:hAnsi="宋体" w:eastAsia="仿宋_GB2312" w:cs="宋体"/>
          <w:kern w:val="0"/>
          <w:sz w:val="28"/>
          <w:szCs w:val="28"/>
          <w:lang w:val="en-US" w:eastAsia="zh-CN"/>
        </w:rPr>
        <w:t>教学质量管理检测系统</w:t>
      </w:r>
    </w:p>
    <w:p w14:paraId="3C5703F3">
      <w:pPr>
        <w:pStyle w:val="4"/>
        <w:numPr>
          <w:ilvl w:val="0"/>
          <w:numId w:val="7"/>
        </w:numPr>
        <w:bidi w:val="0"/>
        <w:rPr>
          <w:rFonts w:hint="eastAsia"/>
          <w:lang w:eastAsia="zh-CN"/>
        </w:rPr>
      </w:pPr>
      <w:bookmarkStart w:id="48" w:name="_Toc10388"/>
      <w:bookmarkStart w:id="49" w:name="_Toc6694"/>
      <w:bookmarkStart w:id="50" w:name="_Hlk90479468"/>
      <w:r>
        <w:rPr>
          <w:rFonts w:hint="eastAsia"/>
        </w:rPr>
        <w:t>师资要求</w:t>
      </w:r>
      <w:bookmarkEnd w:id="48"/>
      <w:bookmarkEnd w:id="49"/>
      <w:r>
        <w:rPr>
          <w:rFonts w:hint="eastAsia"/>
          <w:lang w:eastAsia="zh-CN"/>
        </w:rPr>
        <w:tab/>
      </w:r>
    </w:p>
    <w:p w14:paraId="20C949D0">
      <w:pPr>
        <w:pStyle w:val="5"/>
        <w:bidi w:val="0"/>
        <w:rPr>
          <w:rFonts w:hint="eastAsia"/>
        </w:rPr>
      </w:pPr>
      <w:bookmarkStart w:id="51" w:name="_Toc30081"/>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bookmarkEnd w:id="51"/>
    </w:p>
    <w:p w14:paraId="37BF1601">
      <w:pPr>
        <w:bidi w:val="0"/>
        <w:rPr>
          <w:rFonts w:hint="eastAsia"/>
        </w:rPr>
      </w:pPr>
      <w:r>
        <w:rPr>
          <w:rFonts w:hint="eastAsia"/>
          <w:lang w:val="en-US" w:eastAsia="zh-CN"/>
        </w:rPr>
        <w:t>任课教师应取得旅游管理类硕士学位并具备教学资质，具有行业企业工作经验（智慧旅游企业6个月实</w:t>
      </w:r>
      <w:r>
        <w:rPr>
          <w:rFonts w:hint="eastAsia" w:ascii="Times New Roman" w:hAnsi="Times New Roman" w:cs="Times New Roman"/>
          <w:lang w:val="en-US" w:eastAsia="zh-CN"/>
        </w:rPr>
        <w:t>践经历或参与文旅数字化项目1项以上</w:t>
      </w:r>
      <w:r>
        <w:rPr>
          <w:rFonts w:hint="eastAsia"/>
          <w:lang w:val="en-US" w:eastAsia="zh-CN"/>
        </w:rPr>
        <w:t>），取得行业的职业资格中级以上资格证书，具备本专业扎实的专业知识和丰富的实践经验。</w:t>
      </w:r>
    </w:p>
    <w:p w14:paraId="05309966">
      <w:pPr>
        <w:pStyle w:val="5"/>
        <w:bidi w:val="0"/>
        <w:rPr>
          <w:rFonts w:hint="eastAsia"/>
          <w:lang w:eastAsia="zh-CN"/>
        </w:rPr>
      </w:pPr>
      <w:bookmarkStart w:id="52" w:name="_Toc29403"/>
      <w:r>
        <w:rPr>
          <w:rFonts w:hint="eastAsia"/>
          <w:lang w:eastAsia="zh-CN"/>
        </w:rPr>
        <w:t>（</w:t>
      </w:r>
      <w:r>
        <w:rPr>
          <w:rFonts w:hint="eastAsia"/>
          <w:lang w:val="en-US" w:eastAsia="zh-CN"/>
        </w:rPr>
        <w:t>二</w:t>
      </w:r>
      <w:r>
        <w:rPr>
          <w:rFonts w:hint="eastAsia"/>
          <w:lang w:eastAsia="zh-CN"/>
        </w:rPr>
        <w:t>）对兼职教师的基本要求</w:t>
      </w:r>
      <w:bookmarkEnd w:id="52"/>
    </w:p>
    <w:p w14:paraId="369F3F78">
      <w:pPr>
        <w:keepNext w:val="0"/>
        <w:keepLines w:val="0"/>
        <w:widowControl w:val="0"/>
        <w:suppressLineNumbers w:val="0"/>
        <w:spacing w:before="0" w:beforeAutospacing="0" w:after="0" w:afterAutospacing="0" w:line="600" w:lineRule="exact"/>
        <w:ind w:left="0" w:right="0" w:firstLine="560" w:firstLineChars="200"/>
        <w:jc w:val="both"/>
        <w:outlineLvl w:val="9"/>
        <w:rPr>
          <w:rFonts w:ascii="仿宋_GB2312" w:hAnsi="宋体" w:eastAsia="仿宋_GB2312" w:cs="宋体"/>
          <w:kern w:val="0"/>
          <w:sz w:val="28"/>
          <w:szCs w:val="28"/>
        </w:rPr>
      </w:pPr>
      <w:r>
        <w:rPr>
          <w:rFonts w:hint="eastAsia" w:ascii="仿宋_GB2312" w:hAnsi="宋体" w:eastAsia="仿宋_GB2312" w:cs="宋体"/>
          <w:kern w:val="0"/>
          <w:sz w:val="28"/>
          <w:szCs w:val="28"/>
          <w:lang w:val="en-US" w:eastAsia="zh-CN" w:bidi="ar"/>
        </w:rPr>
        <w:t>任课教师应具有行业经验</w:t>
      </w:r>
      <w:r>
        <w:rPr>
          <w:rFonts w:hint="eastAsia" w:ascii="仿宋_GB2312" w:hAnsi="宋体" w:cs="宋体"/>
          <w:kern w:val="0"/>
          <w:sz w:val="28"/>
          <w:szCs w:val="28"/>
          <w:lang w:val="en-US" w:eastAsia="zh-CN" w:bidi="ar"/>
        </w:rPr>
        <w:t>超过2年，教师须来自在线旅行社、文旅科技企业技术岗位，并承担“数字旅游营销”模块教学</w:t>
      </w:r>
      <w:r>
        <w:rPr>
          <w:rFonts w:hint="eastAsia" w:ascii="仿宋_GB2312" w:hAnsi="宋体" w:eastAsia="仿宋_GB2312" w:cs="宋体"/>
          <w:kern w:val="0"/>
          <w:sz w:val="28"/>
          <w:szCs w:val="28"/>
          <w:lang w:val="en-US" w:eastAsia="zh-CN" w:bidi="ar"/>
        </w:rPr>
        <w:t>。</w:t>
      </w:r>
    </w:p>
    <w:p w14:paraId="14514DD5">
      <w:pPr>
        <w:pStyle w:val="4"/>
        <w:ind w:firstLine="653"/>
      </w:pPr>
      <w:bookmarkStart w:id="53" w:name="_Toc502337269"/>
      <w:bookmarkStart w:id="54" w:name="_Toc29184"/>
      <w:bookmarkStart w:id="55" w:name="_Toc28766"/>
      <w:r>
        <w:rPr>
          <w:rFonts w:hint="eastAsia"/>
        </w:rPr>
        <w:t>十、其它说明</w:t>
      </w:r>
      <w:bookmarkEnd w:id="53"/>
      <w:bookmarkEnd w:id="54"/>
      <w:bookmarkEnd w:id="55"/>
    </w:p>
    <w:bookmarkEnd w:id="3"/>
    <w:bookmarkEnd w:id="4"/>
    <w:bookmarkEnd w:id="5"/>
    <w:bookmarkEnd w:id="50"/>
    <w:p w14:paraId="70D6E8B0">
      <w:pPr>
        <w:ind w:firstLine="560"/>
        <w:rPr>
          <w:rFonts w:ascii="仿宋_GB2312" w:hAnsi="宋体" w:cs="宋体"/>
          <w:kern w:val="0"/>
          <w:szCs w:val="28"/>
        </w:rPr>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PingFangSC-Regular">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流行体简体">
    <w:altName w:val="微软雅黑"/>
    <w:panose1 w:val="020B0604020202020204"/>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3AD82">
    <w:pPr>
      <w:pStyle w:val="12"/>
      <w:ind w:firstLine="360"/>
      <w:jc w:val="center"/>
    </w:pPr>
    <w:r>
      <w:rPr>
        <w:lang w:val="zh-CN"/>
      </w:rPr>
      <w:t xml:space="preserve"> </w:t>
    </w:r>
  </w:p>
  <w:p w14:paraId="521A434B">
    <w:pPr>
      <w:pStyle w:val="12"/>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6F6F6">
    <w:pPr>
      <w:pStyle w:val="12"/>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8981A1">
    <w:pPr>
      <w:pStyle w:val="12"/>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0D54F">
    <w:pPr>
      <w:pStyle w:val="12"/>
      <w:ind w:firstLine="360"/>
      <w:jc w:val="center"/>
    </w:pPr>
    <w:r>
      <w:rPr>
        <w:lang w:val="zh-CN"/>
      </w:rPr>
      <w:t xml:space="preserve"> </w:t>
    </w:r>
  </w:p>
  <w:p w14:paraId="2E4943B8">
    <w:pPr>
      <w:pStyle w:val="12"/>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0BBCC">
    <w:pPr>
      <w:pStyle w:val="12"/>
      <w:ind w:firstLine="360"/>
      <w:jc w:val="center"/>
    </w:pPr>
    <w:r>
      <w:rPr>
        <w:lang w:val="zh-CN"/>
      </w:rPr>
      <w:t xml:space="preserve"> </w:t>
    </w:r>
  </w:p>
  <w:p w14:paraId="1850CE88">
    <w:pPr>
      <w:pStyle w:val="12"/>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71B4DB">
    <w:pPr>
      <w:pStyle w:val="13"/>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5BF28">
    <w:pPr>
      <w:pStyle w:val="13"/>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A06509">
    <w:pPr>
      <w:pStyle w:val="13"/>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A6B75">
    <w:pPr>
      <w:pStyle w:val="13"/>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CC08A0"/>
    <w:multiLevelType w:val="singleLevel"/>
    <w:tmpl w:val="98CC08A0"/>
    <w:lvl w:ilvl="0" w:tentative="0">
      <w:start w:val="9"/>
      <w:numFmt w:val="chineseCounting"/>
      <w:suff w:val="nothing"/>
      <w:lvlText w:val="%1、"/>
      <w:lvlJc w:val="left"/>
      <w:rPr>
        <w:rFonts w:hint="eastAsia"/>
      </w:rPr>
    </w:lvl>
  </w:abstractNum>
  <w:abstractNum w:abstractNumId="1">
    <w:nsid w:val="9C46F812"/>
    <w:multiLevelType w:val="singleLevel"/>
    <w:tmpl w:val="9C46F812"/>
    <w:lvl w:ilvl="0" w:tentative="0">
      <w:start w:val="2"/>
      <w:numFmt w:val="chineseCounting"/>
      <w:suff w:val="nothing"/>
      <w:lvlText w:val="%1、"/>
      <w:lvlJc w:val="left"/>
      <w:rPr>
        <w:rFonts w:hint="eastAsia"/>
      </w:rPr>
    </w:lvl>
  </w:abstractNum>
  <w:abstractNum w:abstractNumId="2">
    <w:nsid w:val="F509E762"/>
    <w:multiLevelType w:val="singleLevel"/>
    <w:tmpl w:val="F509E762"/>
    <w:lvl w:ilvl="0" w:tentative="0">
      <w:start w:val="1"/>
      <w:numFmt w:val="decimal"/>
      <w:lvlText w:val="%1."/>
      <w:lvlJc w:val="left"/>
      <w:pPr>
        <w:tabs>
          <w:tab w:val="left" w:pos="312"/>
        </w:tabs>
      </w:pPr>
    </w:lvl>
  </w:abstractNum>
  <w:abstractNum w:abstractNumId="3">
    <w:nsid w:val="2A23BC07"/>
    <w:multiLevelType w:val="singleLevel"/>
    <w:tmpl w:val="2A23BC07"/>
    <w:lvl w:ilvl="0" w:tentative="0">
      <w:start w:val="1"/>
      <w:numFmt w:val="chineseCounting"/>
      <w:suff w:val="nothing"/>
      <w:lvlText w:val="（%1）"/>
      <w:lvlJc w:val="left"/>
      <w:rPr>
        <w:rFonts w:hint="eastAsia"/>
      </w:rPr>
    </w:lvl>
  </w:abstractNum>
  <w:abstractNum w:abstractNumId="4">
    <w:nsid w:val="2D037ED3"/>
    <w:multiLevelType w:val="singleLevel"/>
    <w:tmpl w:val="2D037ED3"/>
    <w:lvl w:ilvl="0" w:tentative="0">
      <w:start w:val="1"/>
      <w:numFmt w:val="decimal"/>
      <w:lvlText w:val="%1."/>
      <w:lvlJc w:val="left"/>
      <w:pPr>
        <w:tabs>
          <w:tab w:val="left" w:pos="312"/>
        </w:tabs>
      </w:pPr>
    </w:lvl>
  </w:abstractNum>
  <w:abstractNum w:abstractNumId="5">
    <w:nsid w:val="2D85F5C8"/>
    <w:multiLevelType w:val="singleLevel"/>
    <w:tmpl w:val="2D85F5C8"/>
    <w:lvl w:ilvl="0" w:tentative="0">
      <w:start w:val="1"/>
      <w:numFmt w:val="decimal"/>
      <w:lvlText w:val="%1."/>
      <w:lvlJc w:val="left"/>
      <w:pPr>
        <w:tabs>
          <w:tab w:val="left" w:pos="312"/>
        </w:tabs>
      </w:pPr>
    </w:lvl>
  </w:abstractNum>
  <w:abstractNum w:abstractNumId="6">
    <w:nsid w:val="490B5BE4"/>
    <w:multiLevelType w:val="singleLevel"/>
    <w:tmpl w:val="490B5BE4"/>
    <w:lvl w:ilvl="0" w:tentative="0">
      <w:start w:val="2"/>
      <w:numFmt w:val="chineseCounting"/>
      <w:suff w:val="nothing"/>
      <w:lvlText w:val="（%1）"/>
      <w:lvlJc w:val="left"/>
      <w:rPr>
        <w:rFonts w:hint="eastAsia"/>
      </w:rPr>
    </w:lvl>
  </w:abstractNum>
  <w:num w:numId="1">
    <w:abstractNumId w:val="1"/>
  </w:num>
  <w:num w:numId="2">
    <w:abstractNumId w:val="3"/>
  </w:num>
  <w:num w:numId="3">
    <w:abstractNumId w:val="5"/>
  </w:num>
  <w:num w:numId="4">
    <w:abstractNumId w:val="4"/>
  </w:num>
  <w:num w:numId="5">
    <w:abstractNumId w:val="2"/>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iMmVmNWZhNmIzYzM4OTJiZTUyZmY2MTZhZGU2YTUifQ=="/>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4F36FCB"/>
    <w:rsid w:val="050F357E"/>
    <w:rsid w:val="06264DD4"/>
    <w:rsid w:val="071F59E5"/>
    <w:rsid w:val="0B4B3EED"/>
    <w:rsid w:val="0F8E2F13"/>
    <w:rsid w:val="13C6123F"/>
    <w:rsid w:val="152B70E8"/>
    <w:rsid w:val="15D56A42"/>
    <w:rsid w:val="16584725"/>
    <w:rsid w:val="169325B8"/>
    <w:rsid w:val="172F601F"/>
    <w:rsid w:val="1761002E"/>
    <w:rsid w:val="17735D8C"/>
    <w:rsid w:val="18493218"/>
    <w:rsid w:val="18BA29FE"/>
    <w:rsid w:val="18E86D07"/>
    <w:rsid w:val="1A13182E"/>
    <w:rsid w:val="1D1A4DAC"/>
    <w:rsid w:val="1DD153BE"/>
    <w:rsid w:val="1E0C36DB"/>
    <w:rsid w:val="20B401EC"/>
    <w:rsid w:val="2392755E"/>
    <w:rsid w:val="273677B9"/>
    <w:rsid w:val="29790743"/>
    <w:rsid w:val="2D276405"/>
    <w:rsid w:val="2E7B7787"/>
    <w:rsid w:val="2EA6702C"/>
    <w:rsid w:val="2F6A77B8"/>
    <w:rsid w:val="30611F0A"/>
    <w:rsid w:val="317D4E81"/>
    <w:rsid w:val="31864093"/>
    <w:rsid w:val="32BC7B09"/>
    <w:rsid w:val="33670DA7"/>
    <w:rsid w:val="33BD324E"/>
    <w:rsid w:val="34710AAF"/>
    <w:rsid w:val="35361213"/>
    <w:rsid w:val="36213401"/>
    <w:rsid w:val="3A9340B4"/>
    <w:rsid w:val="3BB74E5E"/>
    <w:rsid w:val="3DD96F86"/>
    <w:rsid w:val="3EBC5DDD"/>
    <w:rsid w:val="3ECA0ADA"/>
    <w:rsid w:val="3FF42CA8"/>
    <w:rsid w:val="44883AC1"/>
    <w:rsid w:val="44890655"/>
    <w:rsid w:val="459818F3"/>
    <w:rsid w:val="467F6331"/>
    <w:rsid w:val="46F474F2"/>
    <w:rsid w:val="47DB4379"/>
    <w:rsid w:val="489268FC"/>
    <w:rsid w:val="48A04659"/>
    <w:rsid w:val="49564CEF"/>
    <w:rsid w:val="4C7E6B87"/>
    <w:rsid w:val="4CCD5FB7"/>
    <w:rsid w:val="4DBE0710"/>
    <w:rsid w:val="4E053309"/>
    <w:rsid w:val="53596C0B"/>
    <w:rsid w:val="54A518C5"/>
    <w:rsid w:val="562A3B61"/>
    <w:rsid w:val="574D23B2"/>
    <w:rsid w:val="575F1A59"/>
    <w:rsid w:val="58E10BDE"/>
    <w:rsid w:val="59B04FCC"/>
    <w:rsid w:val="59E05DAC"/>
    <w:rsid w:val="5A502305"/>
    <w:rsid w:val="5A63129F"/>
    <w:rsid w:val="5ADE57B1"/>
    <w:rsid w:val="5BCF6EC1"/>
    <w:rsid w:val="5E8A4E8C"/>
    <w:rsid w:val="5FDC79DB"/>
    <w:rsid w:val="685B2491"/>
    <w:rsid w:val="694C5B6A"/>
    <w:rsid w:val="6C597151"/>
    <w:rsid w:val="6C932E12"/>
    <w:rsid w:val="6D695A44"/>
    <w:rsid w:val="6E8A7606"/>
    <w:rsid w:val="70D22201"/>
    <w:rsid w:val="76AA6A38"/>
    <w:rsid w:val="78987EEB"/>
    <w:rsid w:val="79363CA6"/>
    <w:rsid w:val="7AA3575A"/>
    <w:rsid w:val="7BB35BD5"/>
    <w:rsid w:val="7C1450DF"/>
    <w:rsid w:val="7C482314"/>
    <w:rsid w:val="7D3D24A4"/>
    <w:rsid w:val="7D7E6007"/>
    <w:rsid w:val="7D8408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4">
    <w:name w:val="heading 1"/>
    <w:basedOn w:val="1"/>
    <w:next w:val="1"/>
    <w:link w:val="23"/>
    <w:autoRedefine/>
    <w:qFormat/>
    <w:uiPriority w:val="0"/>
    <w:pPr>
      <w:keepNext/>
      <w:keepLines/>
      <w:spacing w:before="340" w:after="330" w:line="578" w:lineRule="auto"/>
      <w:outlineLvl w:val="0"/>
    </w:pPr>
    <w:rPr>
      <w:rFonts w:eastAsia="黑体"/>
      <w:b/>
      <w:bCs/>
      <w:kern w:val="44"/>
      <w:sz w:val="32"/>
      <w:szCs w:val="44"/>
    </w:rPr>
  </w:style>
  <w:style w:type="paragraph" w:styleId="5">
    <w:name w:val="heading 2"/>
    <w:basedOn w:val="1"/>
    <w:next w:val="1"/>
    <w:link w:val="24"/>
    <w:autoRedefine/>
    <w:qFormat/>
    <w:uiPriority w:val="9"/>
    <w:pPr>
      <w:keepNext/>
      <w:keepLines/>
      <w:spacing w:before="260" w:after="260" w:line="440" w:lineRule="exact"/>
      <w:outlineLvl w:val="1"/>
    </w:pPr>
    <w:rPr>
      <w:b/>
      <w:bCs/>
      <w:szCs w:val="32"/>
    </w:rPr>
  </w:style>
  <w:style w:type="paragraph" w:styleId="6">
    <w:name w:val="heading 3"/>
    <w:basedOn w:val="1"/>
    <w:next w:val="1"/>
    <w:link w:val="25"/>
    <w:autoRedefine/>
    <w:qFormat/>
    <w:uiPriority w:val="9"/>
    <w:pPr>
      <w:keepNext/>
      <w:keepLines/>
      <w:spacing w:before="260" w:after="260" w:line="360" w:lineRule="exact"/>
      <w:outlineLvl w:val="2"/>
    </w:pPr>
    <w:rPr>
      <w:bCs/>
      <w:szCs w:val="32"/>
    </w:rPr>
  </w:style>
  <w:style w:type="paragraph" w:styleId="7">
    <w:name w:val="heading 4"/>
    <w:basedOn w:val="1"/>
    <w:next w:val="1"/>
    <w:link w:val="26"/>
    <w:autoRedefine/>
    <w:qFormat/>
    <w:uiPriority w:val="9"/>
    <w:pPr>
      <w:keepNext/>
      <w:keepLines/>
      <w:spacing w:before="280" w:after="290" w:line="376" w:lineRule="auto"/>
      <w:outlineLvl w:val="3"/>
    </w:pPr>
    <w:rPr>
      <w:rFonts w:ascii="Cambria" w:hAnsi="Cambria"/>
      <w:b/>
      <w:bCs/>
      <w:szCs w:val="28"/>
    </w:rPr>
  </w:style>
  <w:style w:type="character" w:default="1" w:styleId="19">
    <w:name w:val="Default Paragraph Font"/>
    <w:autoRedefine/>
    <w:semiHidden/>
    <w:unhideWhenUsed/>
    <w:qFormat/>
    <w:uiPriority w:val="1"/>
  </w:style>
  <w:style w:type="table" w:default="1" w:styleId="17">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99"/>
    <w:pPr>
      <w:ind w:firstLine="420" w:firstLineChars="100"/>
    </w:pPr>
  </w:style>
  <w:style w:type="paragraph" w:styleId="3">
    <w:name w:val="Body Text"/>
    <w:basedOn w:val="1"/>
    <w:qFormat/>
    <w:uiPriority w:val="1"/>
    <w:pPr>
      <w:autoSpaceDE w:val="0"/>
      <w:autoSpaceDN w:val="0"/>
      <w:spacing w:before="140"/>
      <w:ind w:left="237" w:firstLine="559"/>
      <w:jc w:val="left"/>
    </w:pPr>
    <w:rPr>
      <w:rFonts w:ascii="仿宋" w:hAnsi="仿宋" w:eastAsia="仿宋" w:cs="仿宋"/>
      <w:kern w:val="0"/>
      <w:sz w:val="28"/>
      <w:szCs w:val="28"/>
      <w:lang w:val="zh-CN" w:bidi="zh-CN"/>
    </w:rPr>
  </w:style>
  <w:style w:type="paragraph" w:styleId="8">
    <w:name w:val="table of authorities"/>
    <w:basedOn w:val="1"/>
    <w:next w:val="1"/>
    <w:qFormat/>
    <w:uiPriority w:val="0"/>
    <w:pPr>
      <w:ind w:left="420" w:leftChars="200"/>
    </w:pPr>
  </w:style>
  <w:style w:type="paragraph" w:styleId="9">
    <w:name w:val="annotation text"/>
    <w:basedOn w:val="1"/>
    <w:qFormat/>
    <w:uiPriority w:val="0"/>
    <w:pPr>
      <w:jc w:val="left"/>
    </w:pPr>
  </w:style>
  <w:style w:type="paragraph" w:styleId="10">
    <w:name w:val="toc 3"/>
    <w:basedOn w:val="1"/>
    <w:next w:val="1"/>
    <w:autoRedefine/>
    <w:qFormat/>
    <w:uiPriority w:val="39"/>
    <w:pPr>
      <w:ind w:left="840" w:leftChars="400"/>
    </w:pPr>
  </w:style>
  <w:style w:type="paragraph" w:styleId="11">
    <w:name w:val="Balloon Text"/>
    <w:basedOn w:val="1"/>
    <w:link w:val="22"/>
    <w:autoRedefine/>
    <w:qFormat/>
    <w:uiPriority w:val="0"/>
    <w:rPr>
      <w:sz w:val="18"/>
      <w:szCs w:val="18"/>
    </w:rPr>
  </w:style>
  <w:style w:type="paragraph" w:styleId="12">
    <w:name w:val="footer"/>
    <w:basedOn w:val="1"/>
    <w:link w:val="33"/>
    <w:autoRedefine/>
    <w:unhideWhenUsed/>
    <w:qFormat/>
    <w:uiPriority w:val="99"/>
    <w:pPr>
      <w:tabs>
        <w:tab w:val="center" w:pos="4153"/>
        <w:tab w:val="right" w:pos="8306"/>
      </w:tabs>
      <w:snapToGrid w:val="0"/>
      <w:jc w:val="left"/>
    </w:pPr>
    <w:rPr>
      <w:sz w:val="18"/>
      <w:szCs w:val="18"/>
    </w:rPr>
  </w:style>
  <w:style w:type="paragraph" w:styleId="13">
    <w:name w:val="header"/>
    <w:basedOn w:val="1"/>
    <w:link w:val="3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toc 1"/>
    <w:basedOn w:val="1"/>
    <w:next w:val="1"/>
    <w:unhideWhenUsed/>
    <w:qFormat/>
    <w:uiPriority w:val="39"/>
    <w:pPr>
      <w:spacing w:before="120" w:after="120"/>
      <w:jc w:val="left"/>
    </w:pPr>
    <w:rPr>
      <w:b/>
      <w:bCs/>
      <w:caps/>
      <w:szCs w:val="20"/>
    </w:rPr>
  </w:style>
  <w:style w:type="paragraph" w:styleId="15">
    <w:name w:val="table of figures"/>
    <w:basedOn w:val="1"/>
    <w:next w:val="1"/>
    <w:autoRedefine/>
    <w:qFormat/>
    <w:uiPriority w:val="0"/>
    <w:pPr>
      <w:ind w:left="200" w:leftChars="200" w:hanging="200" w:hangingChars="200"/>
    </w:pPr>
  </w:style>
  <w:style w:type="paragraph" w:styleId="16">
    <w:name w:val="toc 2"/>
    <w:basedOn w:val="1"/>
    <w:next w:val="1"/>
    <w:autoRedefine/>
    <w:unhideWhenUsed/>
    <w:qFormat/>
    <w:uiPriority w:val="39"/>
    <w:pPr>
      <w:ind w:left="210"/>
      <w:jc w:val="left"/>
    </w:pPr>
    <w:rPr>
      <w:smallCaps/>
      <w:sz w:val="24"/>
      <w:szCs w:val="20"/>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b/>
    </w:rPr>
  </w:style>
  <w:style w:type="character" w:styleId="21">
    <w:name w:val="Hyperlink"/>
    <w:autoRedefine/>
    <w:unhideWhenUsed/>
    <w:qFormat/>
    <w:uiPriority w:val="99"/>
    <w:rPr>
      <w:color w:val="0000FF"/>
      <w:u w:val="single"/>
    </w:rPr>
  </w:style>
  <w:style w:type="character" w:customStyle="1" w:styleId="22">
    <w:name w:val="批注框文本 字符"/>
    <w:basedOn w:val="19"/>
    <w:link w:val="11"/>
    <w:autoRedefine/>
    <w:qFormat/>
    <w:uiPriority w:val="0"/>
    <w:rPr>
      <w:rFonts w:ascii="Calibri" w:hAnsi="Calibri"/>
      <w:kern w:val="2"/>
      <w:sz w:val="18"/>
      <w:szCs w:val="18"/>
    </w:rPr>
  </w:style>
  <w:style w:type="character" w:customStyle="1" w:styleId="23">
    <w:name w:val="标题 1 字符"/>
    <w:basedOn w:val="19"/>
    <w:link w:val="4"/>
    <w:autoRedefine/>
    <w:qFormat/>
    <w:uiPriority w:val="0"/>
    <w:rPr>
      <w:rFonts w:ascii="Calibri" w:hAnsi="Calibri" w:eastAsia="黑体"/>
      <w:b/>
      <w:bCs/>
      <w:kern w:val="44"/>
      <w:sz w:val="32"/>
      <w:szCs w:val="44"/>
    </w:rPr>
  </w:style>
  <w:style w:type="character" w:customStyle="1" w:styleId="24">
    <w:name w:val="标题 2 字符"/>
    <w:basedOn w:val="19"/>
    <w:link w:val="5"/>
    <w:autoRedefine/>
    <w:qFormat/>
    <w:uiPriority w:val="9"/>
    <w:rPr>
      <w:rFonts w:ascii="Times New Roman" w:hAnsi="Times New Roman" w:eastAsia="仿宋_GB2312"/>
      <w:b/>
      <w:bCs/>
      <w:kern w:val="2"/>
      <w:sz w:val="28"/>
      <w:szCs w:val="32"/>
    </w:rPr>
  </w:style>
  <w:style w:type="character" w:customStyle="1" w:styleId="25">
    <w:name w:val="标题 3 字符"/>
    <w:basedOn w:val="19"/>
    <w:link w:val="6"/>
    <w:autoRedefine/>
    <w:qFormat/>
    <w:uiPriority w:val="9"/>
    <w:rPr>
      <w:rFonts w:ascii="Calibri" w:hAnsi="Calibri" w:eastAsia="仿宋_GB2312"/>
      <w:bCs/>
      <w:kern w:val="2"/>
      <w:sz w:val="28"/>
      <w:szCs w:val="32"/>
    </w:rPr>
  </w:style>
  <w:style w:type="character" w:customStyle="1" w:styleId="26">
    <w:name w:val="标题 4 字符"/>
    <w:basedOn w:val="19"/>
    <w:link w:val="7"/>
    <w:autoRedefine/>
    <w:qFormat/>
    <w:uiPriority w:val="9"/>
    <w:rPr>
      <w:rFonts w:ascii="Cambria" w:hAnsi="Cambria"/>
      <w:b/>
      <w:bCs/>
      <w:kern w:val="2"/>
      <w:sz w:val="28"/>
      <w:szCs w:val="28"/>
    </w:rPr>
  </w:style>
  <w:style w:type="paragraph" w:customStyle="1" w:styleId="27">
    <w:name w:val="TOC 标题1"/>
    <w:basedOn w:val="4"/>
    <w:next w:val="1"/>
    <w:autoRedefine/>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8">
    <w:name w:val="WPSOffice手动目录 1"/>
    <w:autoRedefine/>
    <w:qFormat/>
    <w:uiPriority w:val="0"/>
    <w:rPr>
      <w:rFonts w:ascii="Times New Roman" w:hAnsi="Times New Roman" w:eastAsia="宋体" w:cs="Times New Roman"/>
      <w:lang w:val="en-US" w:eastAsia="zh-CN" w:bidi="ar-SA"/>
    </w:rPr>
  </w:style>
  <w:style w:type="paragraph" w:customStyle="1" w:styleId="29">
    <w:name w:val="WPSOffice手动目录 2"/>
    <w:autoRedefine/>
    <w:qFormat/>
    <w:uiPriority w:val="0"/>
    <w:pPr>
      <w:ind w:left="200" w:leftChars="200"/>
    </w:pPr>
    <w:rPr>
      <w:rFonts w:ascii="Times New Roman" w:hAnsi="Times New Roman" w:eastAsia="宋体" w:cs="Times New Roman"/>
      <w:lang w:val="en-US" w:eastAsia="zh-CN" w:bidi="ar-SA"/>
    </w:rPr>
  </w:style>
  <w:style w:type="character" w:customStyle="1" w:styleId="30">
    <w:name w:val="style41"/>
    <w:basedOn w:val="19"/>
    <w:autoRedefine/>
    <w:qFormat/>
    <w:uiPriority w:val="0"/>
    <w:rPr>
      <w:sz w:val="18"/>
    </w:rPr>
  </w:style>
  <w:style w:type="paragraph" w:customStyle="1" w:styleId="31">
    <w:name w:val="msolistparagraph"/>
    <w:basedOn w:val="1"/>
    <w:autoRedefine/>
    <w:qFormat/>
    <w:uiPriority w:val="0"/>
    <w:pPr>
      <w:ind w:firstLine="420"/>
    </w:pPr>
    <w:rPr>
      <w:rFonts w:ascii="Calibri" w:hAnsi="Calibri" w:eastAsia="宋体"/>
      <w:sz w:val="21"/>
    </w:rPr>
  </w:style>
  <w:style w:type="paragraph" w:customStyle="1" w:styleId="32">
    <w:name w:val="Table Paragraph"/>
    <w:basedOn w:val="1"/>
    <w:autoRedefine/>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33">
    <w:name w:val="页脚 字符"/>
    <w:basedOn w:val="19"/>
    <w:link w:val="12"/>
    <w:autoRedefine/>
    <w:qFormat/>
    <w:uiPriority w:val="99"/>
    <w:rPr>
      <w:rFonts w:eastAsia="仿宋_GB2312"/>
      <w:kern w:val="2"/>
      <w:sz w:val="18"/>
      <w:szCs w:val="18"/>
    </w:rPr>
  </w:style>
  <w:style w:type="character" w:customStyle="1" w:styleId="34">
    <w:name w:val="页眉 字符"/>
    <w:basedOn w:val="19"/>
    <w:link w:val="13"/>
    <w:autoRedefine/>
    <w:qFormat/>
    <w:uiPriority w:val="99"/>
    <w:rPr>
      <w:rFonts w:eastAsia="仿宋_GB2312"/>
      <w:kern w:val="2"/>
      <w:sz w:val="18"/>
      <w:szCs w:val="18"/>
    </w:rPr>
  </w:style>
  <w:style w:type="paragraph" w:styleId="35">
    <w:name w:val="List Paragraph"/>
    <w:basedOn w:val="1"/>
    <w:autoRedefine/>
    <w:qFormat/>
    <w:uiPriority w:val="99"/>
    <w:pPr>
      <w:ind w:firstLine="420"/>
    </w:pPr>
  </w:style>
  <w:style w:type="paragraph" w:customStyle="1" w:styleId="36">
    <w:name w:val="其他"/>
    <w:basedOn w:val="1"/>
    <w:autoRedefine/>
    <w:qFormat/>
    <w:uiPriority w:val="0"/>
    <w:pPr>
      <w:spacing w:line="360" w:lineRule="auto"/>
      <w:ind w:firstLine="400"/>
    </w:pPr>
    <w:rPr>
      <w:rFonts w:ascii="宋体" w:hAnsi="宋体" w:eastAsia="宋体" w:cs="宋体"/>
      <w:sz w:val="22"/>
      <w:lang w:val="zh-CN" w:bidi="zh-CN"/>
    </w:rPr>
  </w:style>
  <w:style w:type="character" w:customStyle="1" w:styleId="37">
    <w:name w:val="font31"/>
    <w:basedOn w:val="19"/>
    <w:qFormat/>
    <w:uiPriority w:val="0"/>
    <w:rPr>
      <w:rFonts w:ascii="PingFangSC-Regular" w:hAnsi="PingFangSC-Regular" w:eastAsia="PingFangSC-Regular" w:cs="PingFangSC-Regular"/>
      <w:color w:val="120649"/>
      <w:sz w:val="23"/>
      <w:szCs w:val="23"/>
      <w:u w:val="none"/>
    </w:rPr>
  </w:style>
  <w:style w:type="character" w:customStyle="1" w:styleId="38">
    <w:name w:val="font11"/>
    <w:basedOn w:val="19"/>
    <w:qFormat/>
    <w:uiPriority w:val="0"/>
    <w:rPr>
      <w:rFonts w:hint="eastAsia" w:ascii="宋体" w:hAnsi="宋体" w:eastAsia="宋体" w:cs="宋体"/>
      <w:color w:val="120649"/>
      <w:sz w:val="23"/>
      <w:szCs w:val="23"/>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5647</Words>
  <Characters>5742</Characters>
  <Lines>15</Lines>
  <Paragraphs>5</Paragraphs>
  <TotalTime>0</TotalTime>
  <ScaleCrop>false</ScaleCrop>
  <LinksUpToDate>false</LinksUpToDate>
  <CharactersWithSpaces>5879</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2024-07-04T08:12:00Z</dcterms:created>
  <dc:creator>玄冰石</dc:creator>
  <cp:lastModifiedBy>xxxxx</cp:lastModifiedBy>
  <cp:lastPrinted>2024-07-02T05:20:00Z</cp:lastPrinted>
  <dcterms:modified xsi:type="dcterms:W3CDTF">2025-08-11T09:09:37Z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614E670385EF4F8FB5A60F01BE015288_13</vt:lpwstr>
  </property>
  <property fmtid="{D5CDD505-2E9C-101B-9397-08002B2CF9AE}" pid="4" name="KSOTemplateDocerSaveRecord">
    <vt:lpwstr>eyJoZGlkIjoiZmIyY2NiMGIwODZjZjM1OGY0MDgyZmVjMjA0NGY3ZjciLCJ1c2VySWQiOiIxNDAwODIwNzI4In0=</vt:lpwstr>
  </property>
</Properties>
</file>