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  <w:r>
        <w:rPr>
          <w:rFonts w:hint="eastAsia" w:ascii="黑体" w:hAnsi="楷体" w:eastAsia="黑体"/>
          <w:b/>
          <w:sz w:val="72"/>
          <w:szCs w:val="72"/>
        </w:rPr>
        <w:t>“</w:t>
      </w:r>
      <w:r>
        <w:rPr>
          <w:rFonts w:hint="eastAsia" w:ascii="黑体" w:hAnsi="楷体" w:eastAsia="黑体"/>
          <w:b/>
          <w:sz w:val="72"/>
          <w:szCs w:val="72"/>
          <w:lang w:val="en-US" w:eastAsia="zh-CN"/>
        </w:rPr>
        <w:t>企业财务会计</w:t>
      </w:r>
      <w:r>
        <w:rPr>
          <w:rFonts w:hint="eastAsia" w:ascii="黑体" w:hAnsi="楷体" w:eastAsia="黑体"/>
          <w:b/>
          <w:sz w:val="72"/>
          <w:szCs w:val="72"/>
        </w:rPr>
        <w:t>”</w:t>
      </w:r>
    </w:p>
    <w:p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>
      <w:pPr>
        <w:ind w:firstLine="560"/>
      </w:pPr>
    </w:p>
    <w:p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>
      <w:pPr>
        <w:ind w:firstLine="0" w:firstLineChars="0"/>
      </w:pPr>
    </w:p>
    <w:p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4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8</w:t>
      </w:r>
      <w:r>
        <w:rPr>
          <w:b/>
          <w:bCs/>
          <w:kern w:val="36"/>
          <w:sz w:val="36"/>
          <w:szCs w:val="36"/>
        </w:rPr>
        <w:t>月</w:t>
      </w:r>
    </w:p>
    <w:p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Cs w:val="36"/>
            </w:rPr>
            <w:instrText xml:space="preserve"> HYPERLINK \l _Toc25501 </w:instrText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_Toc25501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_Toc1211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二、 课程任务</w:t>
          </w:r>
          <w:r>
            <w:tab/>
          </w:r>
          <w:r>
            <w:fldChar w:fldCharType="begin"/>
          </w:r>
          <w:r>
            <w:instrText xml:space="preserve"> PAGEREF _Toc1211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_Toc9508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_Toc9508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_Toc5843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_Toc5843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_Toc28277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_Toc28277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_Toc12589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_Toc12589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_Toc23831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_Toc23831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_Toc19029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_Toc19029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_Toc2074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_Toc2074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_Toc29952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_Toc29952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_Toc22426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（一）评价原则</w:t>
          </w:r>
          <w:r>
            <w:tab/>
          </w:r>
          <w:r>
            <w:fldChar w:fldCharType="begin"/>
          </w:r>
          <w:r>
            <w:instrText xml:space="preserve"> PAGEREF _Toc22426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_Toc8213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（二）具体评价方案</w:t>
          </w:r>
          <w:r>
            <w:tab/>
          </w:r>
          <w:r>
            <w:fldChar w:fldCharType="begin"/>
          </w:r>
          <w:r>
            <w:instrText xml:space="preserve"> PAGEREF _Toc8213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_Toc28989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（三）成绩等级划分</w:t>
          </w:r>
          <w:r>
            <w:tab/>
          </w:r>
          <w:r>
            <w:fldChar w:fldCharType="begin"/>
          </w:r>
          <w:r>
            <w:instrText xml:space="preserve"> PAGEREF _Toc28989 \h </w:instrText>
          </w:r>
          <w:r>
            <w:fldChar w:fldCharType="separate"/>
          </w:r>
          <w:r>
            <w:t>22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_Toc19374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八、教学资源</w:t>
          </w:r>
          <w:r>
            <w:tab/>
          </w:r>
          <w:r>
            <w:fldChar w:fldCharType="begin"/>
          </w:r>
          <w:r>
            <w:instrText xml:space="preserve"> PAGEREF _Toc19374 \h </w:instrText>
          </w:r>
          <w:r>
            <w:fldChar w:fldCharType="separate"/>
          </w:r>
          <w:r>
            <w:t>23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_Toc10640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_GB2312" w:hAnsi="仿宋_GB2312" w:eastAsia="仿宋_GB2312" w:cs="仿宋_GB2312"/>
              <w:szCs w:val="28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_Toc10640 \h </w:instrText>
          </w:r>
          <w:r>
            <w:fldChar w:fldCharType="separate"/>
          </w:r>
          <w:r>
            <w:t>23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_Toc889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_GB2312" w:hAnsi="仿宋_GB2312" w:eastAsia="仿宋_GB2312" w:cs="仿宋_GB2312"/>
              <w:szCs w:val="28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_Toc889 \h </w:instrText>
          </w:r>
          <w:r>
            <w:fldChar w:fldCharType="separate"/>
          </w:r>
          <w:r>
            <w:t>23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_Toc10620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（三）实训条件</w:t>
          </w:r>
          <w:r>
            <w:tab/>
          </w:r>
          <w:r>
            <w:fldChar w:fldCharType="begin"/>
          </w:r>
          <w:r>
            <w:instrText xml:space="preserve"> PAGEREF _Toc10620 \h </w:instrText>
          </w:r>
          <w:r>
            <w:fldChar w:fldCharType="separate"/>
          </w:r>
          <w:r>
            <w:t>24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6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_Toc12525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1. 校内实训条件</w:t>
          </w:r>
          <w:r>
            <w:tab/>
          </w:r>
          <w:r>
            <w:fldChar w:fldCharType="begin"/>
          </w:r>
          <w:r>
            <w:instrText xml:space="preserve"> PAGEREF _Toc12525 \h </w:instrText>
          </w:r>
          <w:r>
            <w:fldChar w:fldCharType="separate"/>
          </w:r>
          <w:r>
            <w:t>24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6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_Toc12322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2. 校外实训条件</w:t>
          </w:r>
          <w:r>
            <w:tab/>
          </w:r>
          <w:r>
            <w:fldChar w:fldCharType="begin"/>
          </w:r>
          <w:r>
            <w:instrText xml:space="preserve"> PAGEREF _Toc12322 \h </w:instrText>
          </w:r>
          <w:r>
            <w:fldChar w:fldCharType="separate"/>
          </w:r>
          <w:r>
            <w:t>24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_Toc11289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_GB2312" w:hAnsi="仿宋_GB2312" w:eastAsia="仿宋_GB2312" w:cs="仿宋_GB2312"/>
              <w:szCs w:val="28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_Toc11289 \h </w:instrText>
          </w:r>
          <w:r>
            <w:fldChar w:fldCharType="separate"/>
          </w:r>
          <w:r>
            <w:t>25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_Toc23779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九、师资要求</w:t>
          </w:r>
          <w:r>
            <w:tab/>
          </w:r>
          <w:r>
            <w:fldChar w:fldCharType="begin"/>
          </w:r>
          <w:r>
            <w:instrText xml:space="preserve"> PAGEREF _Toc23779 \h </w:instrText>
          </w:r>
          <w:r>
            <w:fldChar w:fldCharType="separate"/>
          </w:r>
          <w:r>
            <w:t>26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_Toc26664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_GB2312" w:hAnsi="仿宋_GB2312" w:eastAsia="仿宋_GB2312" w:cs="仿宋_GB2312"/>
              <w:szCs w:val="28"/>
            </w:rPr>
            <w:t>（一）基本资质</w:t>
          </w:r>
          <w:r>
            <w:tab/>
          </w:r>
          <w:r>
            <w:fldChar w:fldCharType="begin"/>
          </w:r>
          <w:r>
            <w:instrText xml:space="preserve"> PAGEREF _Toc26664 \h </w:instrText>
          </w:r>
          <w:r>
            <w:fldChar w:fldCharType="separate"/>
          </w:r>
          <w:r>
            <w:t>26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_Toc2656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_GB2312" w:hAnsi="仿宋_GB2312" w:eastAsia="仿宋_GB2312" w:cs="仿宋_GB2312"/>
              <w:szCs w:val="28"/>
            </w:rPr>
            <w:t>（二）教学能力</w:t>
          </w:r>
          <w:r>
            <w:tab/>
          </w:r>
          <w:r>
            <w:fldChar w:fldCharType="begin"/>
          </w:r>
          <w:r>
            <w:instrText xml:space="preserve"> PAGEREF _Toc2656 \h </w:instrText>
          </w:r>
          <w:r>
            <w:fldChar w:fldCharType="separate"/>
          </w:r>
          <w:r>
            <w:t>26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2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_Toc16590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rPr>
              <w:rFonts w:hint="eastAsia" w:ascii="仿宋_GB2312" w:hAnsi="仿宋_GB2312" w:eastAsia="仿宋_GB2312" w:cs="仿宋_GB2312"/>
              <w:szCs w:val="28"/>
            </w:rPr>
            <w:t>（三）持续发展要求</w:t>
          </w:r>
          <w:r>
            <w:tab/>
          </w:r>
          <w:r>
            <w:fldChar w:fldCharType="begin"/>
          </w:r>
          <w:r>
            <w:instrText xml:space="preserve"> PAGEREF _Toc16590 \h </w:instrText>
          </w:r>
          <w:r>
            <w:fldChar w:fldCharType="separate"/>
          </w:r>
          <w:r>
            <w:t>28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pStyle w:val="10"/>
            <w:tabs>
              <w:tab w:val="right" w:leader="dot" w:pos="8306"/>
            </w:tabs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instrText xml:space="preserve"> HYPERLINK \l _Toc19122 </w:instrText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separate"/>
          </w:r>
          <w:r>
            <w:t>十、其它说明</w:t>
          </w:r>
          <w:r>
            <w:tab/>
          </w:r>
          <w:r>
            <w:fldChar w:fldCharType="begin"/>
          </w:r>
          <w:r>
            <w:instrText xml:space="preserve"> PAGEREF _Toc19122 \h </w:instrText>
          </w:r>
          <w:r>
            <w:fldChar w:fldCharType="separate"/>
          </w:r>
          <w:r>
            <w:t>28</w:t>
          </w:r>
          <w:r>
            <w:fldChar w:fldCharType="end"/>
          </w: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  <w:bookmarkStart w:id="49" w:name="_GoBack"/>
          <w:bookmarkEnd w:id="49"/>
        </w:p>
      </w:sdtContent>
    </w:sdt>
    <w:p>
      <w:pPr>
        <w:pStyle w:val="2"/>
        <w:ind w:firstLine="653"/>
      </w:pPr>
      <w:bookmarkStart w:id="0" w:name="_Toc502337258"/>
      <w:bookmarkStart w:id="1" w:name="_Toc10917"/>
      <w:bookmarkStart w:id="2" w:name="_Toc25501"/>
      <w:bookmarkStart w:id="3" w:name="_Toc8847"/>
      <w:bookmarkStart w:id="4" w:name="_Toc16819"/>
      <w:bookmarkStart w:id="5" w:name="_Toc246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spacing w:val="0"/>
                <w:sz w:val="24"/>
                <w:szCs w:val="24"/>
                <w:shd w:val="clear" w:fill="FFFFFF"/>
              </w:rPr>
              <w:t>企业财务会计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CWKJ012410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64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大数据与会计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>会计基础、经济法基础、统计学基础</w:t>
            </w:r>
          </w:p>
        </w:tc>
      </w:tr>
    </w:tbl>
    <w:p>
      <w:pPr>
        <w:pStyle w:val="2"/>
        <w:numPr>
          <w:ilvl w:val="0"/>
          <w:numId w:val="1"/>
        </w:numPr>
        <w:ind w:firstLine="653"/>
      </w:pPr>
      <w:bookmarkStart w:id="6" w:name="_Toc1211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>
      <w:pPr>
        <w:ind w:firstLine="560"/>
        <w:rPr>
          <w:rFonts w:hint="eastAsia"/>
        </w:rPr>
      </w:pPr>
      <w:r>
        <w:rPr>
          <w:rFonts w:hint="eastAsia"/>
        </w:rPr>
        <w:t>企业财务会计》是大数据与会计专业的核心专业课，全面贯彻党的教育方针，落实立德树人根本任务。课程紧密对接 2025 版财务会计类专业教学标准，以 “数据赋能财务” 为核心导向，培养学生在数字化背景下的会计核算、财务分析及业财融合应用能力，助力学生树立诚信守法的职业道德和严谨细致的工作作风，达成大数据与会计专业 “会分析、懂行业、用工具、熟业务” 的创新型、应用型高技能人才培养目标。</w:t>
      </w:r>
    </w:p>
    <w:p>
      <w:pPr>
        <w:ind w:firstLine="560"/>
        <w:rPr>
          <w:color w:val="FF0000"/>
        </w:rPr>
      </w:pPr>
      <w:r>
        <w:rPr>
          <w:rFonts w:hint="eastAsia"/>
        </w:rPr>
        <w:t>通过本课程教学，学生需掌握企业经济业务全流程的会计处理方法，熟练运用智能财务软件（如用友 BIP、金蝶云会计）完成账务处理、报表编制及数据分析，具备识别财务风险、处理复杂会计事项（如长期股权投资、合并报表基础）的能力，同时能够结合《数据安全法》《会计法》等法规规范财务数据处理流程，为后续学习财务大数据分析、智能审计等课程奠定基础，实现从校园学习到职场实践的平稳过渡，满足企事业单位会计核算岗、财务分析岗及会计师事务所审计助理岗的岗位能力需求。</w:t>
      </w:r>
    </w:p>
    <w:p>
      <w:pPr>
        <w:pStyle w:val="2"/>
        <w:ind w:firstLine="653"/>
      </w:pPr>
      <w:bookmarkStart w:id="9" w:name="_Toc9508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bookmarkEnd w:id="10"/>
    <w:p>
      <w:pPr>
        <w:pStyle w:val="3"/>
        <w:numPr>
          <w:ilvl w:val="0"/>
          <w:numId w:val="2"/>
        </w:numPr>
        <w:ind w:firstLine="560"/>
      </w:pPr>
      <w:bookmarkStart w:id="11" w:name="_Toc7412"/>
      <w:bookmarkStart w:id="12" w:name="_Toc90472987"/>
      <w:bookmarkStart w:id="13" w:name="_Toc5843"/>
      <w:r>
        <w:rPr>
          <w:rFonts w:hint="eastAsia"/>
        </w:rPr>
        <w:t>素质目标</w:t>
      </w:r>
      <w:bookmarkEnd w:id="11"/>
      <w:bookmarkEnd w:id="12"/>
      <w:bookmarkEnd w:id="13"/>
      <w:bookmarkStart w:id="14" w:name="_Toc502337264"/>
    </w:p>
    <w:p>
      <w:pPr>
        <w:ind w:firstLine="560"/>
        <w:rPr>
          <w:rFonts w:hint="eastAsia"/>
        </w:rPr>
      </w:pPr>
      <w:r>
        <w:rPr>
          <w:rFonts w:hint="eastAsia"/>
        </w:rPr>
        <w:t>例：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培养诚信守法的职业道德，树立 “真实、准确、合规” 的会计职业价值观，杜绝财务数据造假行为。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强化严谨细致的工作作风，在会计核算、报表编制等环节做到精准无误，培养对财务数据的敏感性和责任意识。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树立数据安全与合规意识，理解《数据安全法》《个人信息保护法》对财务数据处理的要求，养成规范存储、使用财务数据的习惯。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提升团队协作与沟通能力，通过小组项目（如企业综合账务处理）培养分工协作、成果共享的团队精神。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5.</w:t>
      </w:r>
      <w:r>
        <w:rPr>
          <w:rFonts w:hint="eastAsia"/>
        </w:rPr>
        <w:t>激发创新思维，探索智能财务工具在会计工作中的创新应用，适应财务数字化转型趋势。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6.</w:t>
      </w:r>
      <w:r>
        <w:rPr>
          <w:rFonts w:hint="eastAsia"/>
        </w:rPr>
        <w:t>培养终身学习意识，关注会计准则（如 IFRS、CAS）及财税政策的更新动态，主动提升职业竞争力。</w:t>
      </w:r>
    </w:p>
    <w:p>
      <w:pPr>
        <w:pStyle w:val="3"/>
        <w:numPr>
          <w:ilvl w:val="0"/>
          <w:numId w:val="2"/>
        </w:numPr>
        <w:ind w:firstLine="560"/>
      </w:pPr>
      <w:bookmarkStart w:id="15" w:name="_Toc90472988"/>
      <w:bookmarkStart w:id="16" w:name="_Toc24734"/>
      <w:bookmarkStart w:id="17" w:name="_Toc28277"/>
      <w:r>
        <w:rPr>
          <w:rFonts w:hint="eastAsia"/>
        </w:rPr>
        <w:t>知识目标</w:t>
      </w:r>
      <w:bookmarkEnd w:id="14"/>
      <w:bookmarkEnd w:id="15"/>
      <w:bookmarkEnd w:id="16"/>
      <w:bookmarkEnd w:id="17"/>
      <w:bookmarkStart w:id="18" w:name="_Toc502337265"/>
    </w:p>
    <w:p>
      <w:pPr>
        <w:ind w:firstLine="560"/>
        <w:rPr>
          <w:rFonts w:hint="eastAsia"/>
        </w:rPr>
      </w:pPr>
      <w:r>
        <w:rPr>
          <w:rFonts w:hint="eastAsia"/>
        </w:rPr>
        <w:t>1.掌握企业财务会计的基本理论，包括会计要素确认与计量原则、会计基本假设、会计信息质量要求等。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熟悉企业主要经济业务的会计处理规范，涵盖货币资金、应收款项、存货、固定资产、无形资产、负债、所有者权益及收入费用利润的核算要点。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理解智能财务系统（如 ERP、财务共享平台）的工作原理，掌握系统中账套建立、凭证录入、期末结账等操作的知识逻辑。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掌握财务报表（资产负债表、利润表、现金流量表）的编制原理、结构及勾稽关系，熟悉报表附注的披露要求。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5.</w:t>
      </w:r>
      <w:r>
        <w:rPr>
          <w:rFonts w:hint="eastAsia"/>
        </w:rPr>
        <w:t>了解复杂会计事项的处理方法，包括长期股权投资初始计量与后续计量、资产减值测试、所得税会计基础等。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6.</w:t>
      </w:r>
      <w:r>
        <w:rPr>
          <w:rFonts w:hint="eastAsia"/>
        </w:rPr>
        <w:t>熟悉《企业会计准则》《数据安全法》《税收征管法》等相关法规在财务会计中的应用，掌握财务数据合规处理的知识要点。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7.</w:t>
      </w:r>
      <w:r>
        <w:rPr>
          <w:rFonts w:hint="eastAsia"/>
        </w:rPr>
        <w:t>了解业财融合的核心逻辑，掌握从业务数据（如采购订单、销售合同）到财务数据的转化路径及关联分析方法。</w:t>
      </w:r>
    </w:p>
    <w:p>
      <w:pPr>
        <w:pStyle w:val="3"/>
        <w:numPr>
          <w:ilvl w:val="0"/>
          <w:numId w:val="2"/>
        </w:numPr>
        <w:ind w:firstLine="560"/>
      </w:pPr>
      <w:bookmarkStart w:id="19" w:name="_Toc90472989"/>
      <w:bookmarkStart w:id="20" w:name="_Toc12623"/>
      <w:bookmarkStart w:id="21" w:name="_Toc12589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>
      <w:pPr>
        <w:ind w:firstLine="560"/>
        <w:rPr>
          <w:rFonts w:hint="eastAsia"/>
        </w:rPr>
      </w:pPr>
      <w:r>
        <w:rPr>
          <w:rFonts w:hint="eastAsia"/>
        </w:rPr>
        <w:t>1.具备独立处理企业日常经济业务的能力，能根据原始凭证（如发票、银行回单）准确编制记账凭证，完成审核、记账、结账等全流程操作。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具备智能财务工具应用能力，能熟练使用用友 BIP、金蝶云会计等软件进行账套初始化、自动转账设置、财务报表生成，且能调用系统数据接口导出数据进行二次分析。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具备财务报表编制与分析能力，能独立编制资产负债表、利润表，能通过报表数据识别企业偿债能力、盈利能力等基本财务状况，撰写简易分析报告。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具备复杂会计事项处理能力，能对长期股权投资、固定资产处置、所得税调整等特殊业务进行账务处理，能排查并更正账务处理中的常见错误（如科目用错、金额漏记）。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5.</w:t>
      </w:r>
      <w:r>
        <w:rPr>
          <w:rFonts w:hint="eastAsia"/>
        </w:rPr>
        <w:t>具备财务数据合规处理能力，能根据《数据安全法》要求对敏感财务数据（如客户银行卡信息、企业核心成本数据）进行脱敏处理，能制定简单的财务数据安全管理方案。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6.</w:t>
      </w:r>
      <w:r>
        <w:rPr>
          <w:rFonts w:hint="eastAsia"/>
        </w:rPr>
        <w:t>具备业财数据关联分析能力，能通过 ERP 系统对接业务模块（如采购、销售），提取业务数据（如库存周转率、应收账款账期）并关联财务指标进行交叉验证，为业务优化提供数据支持。</w:t>
      </w:r>
    </w:p>
    <w:p>
      <w:pPr>
        <w:ind w:firstLine="560"/>
        <w:rPr>
          <w:rFonts w:hint="eastAsia"/>
        </w:rPr>
      </w:pPr>
      <w:r>
        <w:rPr>
          <w:rFonts w:hint="eastAsia"/>
          <w:lang w:val="en-US" w:eastAsia="zh-CN"/>
        </w:rPr>
        <w:t>7.</w:t>
      </w:r>
      <w:r>
        <w:rPr>
          <w:rFonts w:hint="eastAsia"/>
        </w:rPr>
        <w:t>具备团队协作完成综合项目的能力，能在小组中承担账务处理、报表审核或数据分析等角色，通过分工协作完成企业月度综合账务处理项目，并进行成果展示与汇报。</w:t>
      </w:r>
    </w:p>
    <w:p>
      <w:pPr>
        <w:pStyle w:val="2"/>
        <w:ind w:firstLine="653"/>
      </w:pPr>
      <w:bookmarkStart w:id="22" w:name="_Toc11296"/>
      <w:bookmarkStart w:id="23" w:name="_Toc23831"/>
      <w:r>
        <w:rPr>
          <w:rFonts w:hint="eastAsia"/>
        </w:rPr>
        <w:t>四、课程职业能力分析</w:t>
      </w:r>
      <w:bookmarkEnd w:id="22"/>
      <w:bookmarkEnd w:id="23"/>
    </w:p>
    <w:p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2359"/>
        <w:gridCol w:w="1760"/>
        <w:gridCol w:w="2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235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176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会计核算岗（企业）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日常账务处理</w:t>
            </w: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1. 审核原始凭证（发票、合同、银行回单等）的真实性、合法性；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2. 根据审核无误的原始凭证编制记账凭证；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3. 登记总账、明细账，定期进行账证核对、账账核对；</w:t>
            </w:r>
          </w:p>
          <w:p>
            <w:pPr>
              <w:spacing w:line="240" w:lineRule="auto"/>
              <w:ind w:firstLine="0" w:firstLineChars="0"/>
              <w:rPr>
                <w:rFonts w:ascii="仿宋_GB2312" w:hAnsi="仿宋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4. 处理期末转账（如损益结转、折旧计提）及结账工作</w:t>
            </w: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1. 原始凭证真伪识别与合规性判断技能；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2. 记账凭证编制与审核技能；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3. 智能财务软件（如用友 BIP）账务处理技能；</w:t>
            </w:r>
          </w:p>
          <w:p>
            <w:pPr>
              <w:spacing w:line="240" w:lineRule="auto"/>
              <w:ind w:firstLine="0" w:firstLineChars="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4. 期末结账与对账差错更正技能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Times New Roman" w:eastAsia="仿宋_GB2312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</w:rPr>
              <w:t>1. 原始凭证真伪识别与合规性判断技能；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Times New Roman" w:eastAsia="仿宋_GB2312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</w:rPr>
              <w:t>2. 记账凭证编制与审核技能；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Times New Roman" w:eastAsia="仿宋_GB2312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</w:rPr>
              <w:t>3. 智能财务软件（如用友 BIP）账务处理技能；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</w:rPr>
              <w:t>4. 期末结账与对账差错更正技能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hint="eastAsia" w:ascii="仿宋_GB2312"/>
                <w:sz w:val="24"/>
                <w:szCs w:val="24"/>
              </w:rPr>
              <w:t>资产核算管理</w:t>
            </w: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1. 货币资金（现金、银行存款）日常管理与对账；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2. 存货收发存核算（采购入库、销售出库、盘点清查）；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3. 固定资产购入、折旧计提、处置的账务处理；</w:t>
            </w:r>
          </w:p>
          <w:p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4. 无形资产摊销与减值测试</w:t>
            </w: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1. 银行对账单核对与余额调节表编制技能；</w:t>
            </w:r>
          </w:p>
          <w:p>
            <w:pPr>
              <w:pStyle w:val="27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2. 存货计价方法（先进先出法、加权平均法）应用技能；</w:t>
            </w:r>
          </w:p>
          <w:p>
            <w:pPr>
              <w:pStyle w:val="27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3. 固定资产折旧计算（年限平均法、工作量法）与账务处理技能；</w:t>
            </w:r>
          </w:p>
          <w:p>
            <w:pPr>
              <w:pStyle w:val="27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4. 资产减值迹象识别与减值准备计提技能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1. 货币资金内部控制制度；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2. 存货计价方法与成本核算原理；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3. 固定资产折旧政策与税法差异；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4. 资产减值准则与应用条件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spacing w:val="0"/>
                <w:sz w:val="24"/>
                <w:szCs w:val="24"/>
                <w:shd w:val="clear" w:fill="FFFFFF"/>
              </w:rPr>
              <w:t>审计助理岗（会计师事务所）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spacing w:val="0"/>
                <w:sz w:val="24"/>
                <w:szCs w:val="24"/>
                <w:shd w:val="clear" w:fill="FFFFFF"/>
              </w:rPr>
              <w:t>基础审计支持</w:t>
            </w: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1. 协助获取企业会计凭证、账簿、报表等审计资料；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2. 抽查会计分录，验证账务处理的合规性；</w:t>
            </w:r>
          </w:p>
          <w:p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3. 协助编制审计工作底稿，记录审计证据；</w:t>
            </w:r>
          </w:p>
          <w:p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4. 协助核对财务报表数据与总账、明细账的一致性</w:t>
            </w: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tabs>
                <w:tab w:val="left" w:pos="546"/>
              </w:tabs>
              <w:spacing w:before="5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1. 审计资料收集与整理技能；</w:t>
            </w:r>
          </w:p>
          <w:p>
            <w:pPr>
              <w:pStyle w:val="27"/>
              <w:tabs>
                <w:tab w:val="left" w:pos="546"/>
              </w:tabs>
              <w:spacing w:before="5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2. 会计分录抽查与合规性验证技能；</w:t>
            </w:r>
          </w:p>
          <w:p>
            <w:pPr>
              <w:pStyle w:val="27"/>
              <w:tabs>
                <w:tab w:val="left" w:pos="546"/>
              </w:tabs>
              <w:spacing w:before="5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3. 审计工作底稿编制技能；</w:t>
            </w:r>
          </w:p>
          <w:p>
            <w:pPr>
              <w:pStyle w:val="27"/>
              <w:tabs>
                <w:tab w:val="left" w:pos="546"/>
              </w:tabs>
              <w:spacing w:before="5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4. 报表数据溯源核对技能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1. 审计准则基本要求；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2. 审计抽样方法与应用；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3. 审计工作底稿编制规范；</w:t>
            </w:r>
          </w:p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4. 财务数据溯源核查逻辑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tabs>
                <w:tab w:val="left" w:pos="546"/>
              </w:tabs>
              <w:rPr>
                <w:rFonts w:ascii="仿宋_GB2312" w:eastAsia="仿宋_GB2312"/>
                <w:spacing w:val="-7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tabs>
                <w:tab w:val="left" w:pos="548"/>
              </w:tabs>
              <w:spacing w:before="1" w:line="242" w:lineRule="auto"/>
              <w:ind w:right="-15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vMerge w:val="restart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tbl>
            <w:tblPr>
              <w:tblStyle w:val="13"/>
              <w:tblW w:w="0" w:type="auto"/>
              <w:tblInd w:w="-270" w:type="dxa"/>
              <w:tblBorders>
                <w:top w:val="single" w:color="auto" w:sz="6" w:space="0"/>
                <w:left w:val="single" w:color="auto" w:sz="2" w:space="0"/>
                <w:bottom w:val="single" w:color="auto" w:sz="2" w:space="0"/>
                <w:right w:val="single" w:color="auto" w:sz="2" w:space="0"/>
                <w:insideH w:val="none" w:color="auto" w:sz="0" w:space="0"/>
                <w:insideV w:val="none" w:color="auto" w:sz="0" w:space="0"/>
              </w:tblBorders>
              <w:shd w:val="clear" w:color="auto" w:fill="FFFFFF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320"/>
              <w:gridCol w:w="4320"/>
            </w:tblGrid>
            <w:tr>
              <w:tblPrEx>
                <w:tblBorders>
                  <w:top w:val="single" w:color="auto" w:sz="6" w:space="0"/>
                  <w:left w:val="single" w:color="auto" w:sz="2" w:space="0"/>
                  <w:bottom w:val="single" w:color="auto" w:sz="2" w:space="0"/>
                  <w:right w:val="single" w:color="auto" w:sz="2" w:space="0"/>
                  <w:insideH w:val="none" w:color="auto" w:sz="0" w:space="0"/>
                  <w:insideV w:val="none" w:color="auto" w:sz="0" w:space="0"/>
                </w:tblBorders>
                <w:shd w:val="clear" w:color="auto" w:fill="FFFFFF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c>
                <w:tcPr>
                  <w:tcW w:w="4320" w:type="dxa"/>
                  <w:tcBorders>
                    <w:top w:val="nil"/>
                    <w:left w:val="nil"/>
                    <w:bottom w:val="nil"/>
                    <w:right w:val="single" w:color="auto" w:sz="6" w:space="0"/>
                  </w:tcBorders>
                  <w:shd w:val="clear" w:color="auto" w:fill="FFFFFF"/>
                  <w:tcMar>
                    <w:top w:w="180" w:type="dxa"/>
                    <w:left w:w="270" w:type="dxa"/>
                    <w:bottom w:w="180" w:type="dxa"/>
                    <w:right w:w="27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420" w:lineRule="atLeast"/>
                    <w:ind w:left="0" w:leftChars="0" w:right="0" w:firstLine="0" w:firstLineChars="0"/>
                    <w:jc w:val="left"/>
                    <w:rPr>
                      <w:rFonts w:ascii="Segoe UI" w:hAnsi="Segoe UI" w:eastAsia="Segoe UI" w:cs="Segoe UI"/>
                      <w:i w:val="0"/>
                      <w:iCs w:val="0"/>
                      <w:caps w:val="0"/>
                      <w:color w:val="000000"/>
                      <w:spacing w:val="0"/>
                      <w:sz w:val="24"/>
                      <w:szCs w:val="24"/>
                    </w:rPr>
                  </w:pPr>
                </w:p>
              </w:tc>
              <w:tc>
                <w:tcPr>
                  <w:tcW w:w="4320" w:type="dxa"/>
                  <w:tcBorders>
                    <w:top w:val="nil"/>
                    <w:left w:val="nil"/>
                    <w:bottom w:val="nil"/>
                    <w:right w:val="single" w:color="auto" w:sz="6" w:space="0"/>
                  </w:tcBorders>
                  <w:shd w:val="clear" w:color="auto" w:fill="FFFFFF"/>
                  <w:tcMar>
                    <w:top w:w="180" w:type="dxa"/>
                    <w:left w:w="270" w:type="dxa"/>
                    <w:bottom w:w="180" w:type="dxa"/>
                    <w:right w:w="27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0" w:after="0" w:afterAutospacing="0" w:line="420" w:lineRule="atLeast"/>
                    <w:ind w:left="0" w:right="0" w:firstLine="0"/>
                    <w:jc w:val="left"/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000000"/>
                      <w:spacing w:val="0"/>
                      <w:sz w:val="24"/>
                      <w:szCs w:val="24"/>
                    </w:rPr>
                  </w:pPr>
                  <w:r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000000"/>
                      <w:spacing w:val="0"/>
                      <w:kern w:val="0"/>
                      <w:sz w:val="24"/>
                      <w:szCs w:val="24"/>
                      <w:lang w:val="en-US" w:eastAsia="zh-CN" w:bidi="ar"/>
                    </w:rPr>
                    <w:t>1. 协助获取企业会计凭证、账簿、报表等审计资料；</w:t>
                  </w:r>
                  <w:r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000000"/>
                      <w:spacing w:val="0"/>
                      <w:kern w:val="0"/>
                      <w:sz w:val="24"/>
                      <w:szCs w:val="24"/>
                      <w:bdr w:val="single" w:color="auto" w:sz="2" w:space="0"/>
                      <w:lang w:val="en-US" w:eastAsia="zh-CN" w:bidi="ar"/>
                    </w:rPr>
                    <w:br w:type="textWrapping"/>
                  </w:r>
                  <w:r>
                    <w:rPr>
                      <w:rFonts w:hint="default" w:ascii="Segoe UI" w:hAnsi="Segoe UI" w:eastAsia="Segoe UI" w:cs="Segoe UI"/>
                      <w:i w:val="0"/>
                      <w:iCs w:val="0"/>
                      <w:caps w:val="0"/>
                      <w:color w:val="000000"/>
                      <w:spacing w:val="0"/>
                      <w:kern w:val="0"/>
                      <w:sz w:val="24"/>
                      <w:szCs w:val="24"/>
                      <w:lang w:val="en-US" w:eastAsia="zh-CN" w:bidi="ar"/>
                    </w:rPr>
                    <w:t>2. 抽查会计分录，验证账务处理的合规性；</w:t>
                  </w:r>
                </w:p>
              </w:tc>
            </w:tr>
          </w:tbl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vMerge w:val="continue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tabs>
                <w:tab w:val="left" w:pos="536"/>
              </w:tabs>
              <w:spacing w:before="2"/>
              <w:jc w:val="both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2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Times New Roman" w:eastAsia="仿宋_GB2312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27"/>
              <w:tabs>
                <w:tab w:val="left" w:pos="546"/>
              </w:tabs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26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</w:tbl>
    <w:p>
      <w:pPr>
        <w:pStyle w:val="2"/>
        <w:ind w:firstLine="560"/>
      </w:pPr>
      <w:bookmarkStart w:id="24" w:name="_Toc30005"/>
      <w:bookmarkStart w:id="25" w:name="_Toc19029"/>
      <w:bookmarkStart w:id="26" w:name="_Toc502337266"/>
      <w:r>
        <w:rPr>
          <w:rFonts w:hint="eastAsia"/>
        </w:rPr>
        <w:t>五、课程设计思路</w:t>
      </w:r>
      <w:bookmarkEnd w:id="24"/>
      <w:bookmarkEnd w:id="25"/>
    </w:p>
    <w:p>
      <w:pPr>
        <w:ind w:firstLine="560"/>
        <w:rPr>
          <w:rFonts w:hint="eastAsia"/>
        </w:rPr>
      </w:pPr>
      <w:r>
        <w:rPr>
          <w:rFonts w:hint="eastAsia"/>
        </w:rPr>
        <w:t>本课程以 “岗位需求为导向、能力培养为核心、数字技术为支撑、课程思政为融入” 为设计理念，从教学路径、教学评价、课程思政三个维度构建课程体系：</w:t>
      </w:r>
    </w:p>
    <w:bookmarkEnd w:id="26"/>
    <w:p>
      <w:pPr>
        <w:pStyle w:val="2"/>
        <w:ind w:firstLine="0" w:firstLineChars="0"/>
      </w:pPr>
      <w:bookmarkStart w:id="27" w:name="_Toc11466"/>
      <w:bookmarkStart w:id="28" w:name="_Toc2074"/>
      <w:r>
        <w:rPr>
          <w:rFonts w:hint="eastAsia"/>
        </w:rPr>
        <w:t>六、课程结构与内容</w:t>
      </w:r>
      <w:bookmarkEnd w:id="27"/>
      <w:bookmarkEnd w:id="28"/>
      <w:bookmarkStart w:id="29" w:name="_Toc7467"/>
      <w:bookmarkStart w:id="30" w:name="_Toc19213"/>
    </w:p>
    <w:p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175"/>
        <w:gridCol w:w="1175"/>
        <w:gridCol w:w="1175"/>
        <w:gridCol w:w="1473"/>
        <w:gridCol w:w="1175"/>
        <w:gridCol w:w="1175"/>
        <w:gridCol w:w="11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序号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课程内容（模块 / 项目）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学习内容和要求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教学设计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课程思政设计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1.2：初始资产购置核算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固定资产（办公设备、生产机器）入账成本归集（价款、税费、安装费区分资本化 / 费用化）；2. 无形资产（软件使用权、商标权）购入核算规范；3. 用友 BIP 固定资产模块操作（卡片录入、折旧政策设置、自动计提折旧）。要求：1. 能准确计算固定资产入账价值，误差率≤2%；2. 能运用年限平均法计提折旧并生成记账凭证；3. 能在软件中完成固定资产卡片录入，确保信息完整度 100%。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演示教学：教师通过用友 BIP 演示 “固定资产卡片创建 - 折旧参数设置 - 凭证自动生成” 全流程；2. 实操任务：学生完成 “新办企业购置生产设备” 账务处理，提交软件操作录屏 + 折旧计算表；3. 纠错训练：展示典型错误案例（如漏记安装费、折旧年限选错），组织学生分析整改。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引入 “企业通过虚增固定资产套取资金” 案例，强调资产核算的真实性原则；2. 讲解固定资产管理对企业运营的重要性，培养学生 “管好资产、提质增效” 的责任意识。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2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项目二：日常经营期业务核算（24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2.1：采购业务全流程核算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采购业务逻辑（订单 - 入库 - 付款）与会计处理（原材料 / 库存商品、应付账款核算）；2. 增值税进项税额认证（数电发票勾选确认平台操作）；3. ERP 系统采购模块与财务模块对接（数据同步、凭证自动生成）。要求：1. 能独立完成 “采购订单 - 入库单 - 发票 - 付款” 全流程账务处理；2. 能在数电发票平台完成进项税勾选认证，准确率 100%；3. 能通过 ERP 系统关联采购业务数据与财务凭证，排查数据差异。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情境教学：以制造业 “采购原材料” 为情境，拆解业务节点与会计处理逻辑；2. 校企协同：邀请合作企业（如贵州爱信诺航天信息）财务人员讲解真实采购核算痛点；3. 小组实操：4 人一组，在网中网智能财税平台完成 “月度采购业务批量处理”，提交流程报告。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融入 “采购人员收受回扣导致企业成本虚高” 案例，开展廉洁从业讨论，培养学生廉洁自律意识；2. 讲解 “供应链稳定性对企业发展的影响”，引导学生树立 “协同高效” 的业务思维。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2.2：销售业务全流程核算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销售业务逻辑（订单 - 出库 - 收款）与会计处理（主营业务收入、应收账款核算）；2. 数电发票开具与管理（开票系统操作、红字发票处理）；3. 应收账款账期管理与坏账准备计提（余额百分比法）。要求：1. 能准确确认销售收入时点，区分现销 / 赊销账务处理；2. 能熟练开具数电发票，处理发票作废 / 红冲，无操作失误；3. 能计算坏账准备并编制计提凭证，计提比例符合准则要求。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案例分析：以电商企业 “直播带货销售” 为例，分析收入确认时点争议；2. 实操训练：学生在金税四期模拟系统完成 “不同场景下数电发票开具”，在 ERP 系统同步完成销售账务；3. 成果展示：选取学生作业展示应收账款管理方案，互评优化。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引入 “企业通过虚增销售收入粉饰报表” 案例（如某上市公司造假事件），强调收入核算的真实性，培养诚信职业操守；2. 讲解 “应收账款回收对企业现金流的影响”，引导学生树立 “风险防控” 意识。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2.3：期间费用与税费核算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期间费用（管理费用、销售费用、财务费用）归集与核算规范；2. 城市维护建设税、教育费附加等附加税费计算与申报；3. 智能报销系统操作（费用单据扫描上传、自动审核、付款审批）。要求：1. 能准确区分不同费用类型，无混淆归集情况；2. 能根据增值税额计算附加税费，误差率≤1%；3. 能通过智能报销系统完成费用报销全流程，审批流程合规。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演示教学：教师通过企业真实智能报销系统（如</w:t>
            </w:r>
            <w:r>
              <w:rPr>
                <w:rFonts w:hint="eastAsia" w:ascii="Arial" w:hAnsi="Arial" w:eastAsia="等线" w:cs="Arial"/>
                <w:sz w:val="22"/>
                <w:szCs w:val="22"/>
                <w:lang w:val="en-US" w:eastAsia="zh-CN"/>
              </w:rPr>
              <w:t>钉钉</w:t>
            </w:r>
            <w:r>
              <w:rPr>
                <w:rFonts w:ascii="Arial" w:hAnsi="Arial" w:eastAsia="等线" w:cs="Arial"/>
                <w:sz w:val="22"/>
                <w:szCs w:val="22"/>
              </w:rPr>
              <w:t>报销）演示 “单据上传 - 智能审核 - 财务付款” 流程；2. 实操任务：学生模拟 “企业员工差旅费报销” 场景，完成费用归集、税费计算、系统操作；3. 小组讨论：分析 “费用管控对企业利润的影响”，提出 3 条以上费用优化建议。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融入 “员工虚报费用导致企业损失” 案例，强调费用审核的严谨性，培养学生 “厉行节约、杜绝浪费” 的意识；2. 讲解附加税费对地方财政的贡献，引导学生理解 “依法纳税是企业社会责任” 的内涵。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2.4：职工薪酬核算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职工薪酬构成（工资、社保、公积金、福利费）与会计处理；2. 个人所得税预扣预缴计算（累计预扣法）与申报；3. 用友 BIP 薪资模块操作（薪资录入、个税计算、凭证生成）。要求：1. 能准确计算职工薪酬总额及个税，无计算错误；2. 能在软件中完成薪资发放全流程操作，数据同步准确率 100%；3. 能编制职工薪酬相关记账凭证，科目使用合规。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案例教学：以 “制造业月度薪资发放” 为例，拆解薪资计算与个税代扣逻辑；2. 实操训练：学生使用个税申报模拟系统完成 “10 人团队薪资个税计算与申报”；3. 纠错练习：针对 “社保公积金漏提、个税计算错误” 等常见问题，开展专项整改训练。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引入 “企业拖欠工资导致员工权益受损” 案例，强调 “按时足额发放薪酬是企业基本责任”，培养学生尊重劳动者权益的意识；2. 讲解 “个税专项附加扣除政策” 对民生的保障作用，引导学生感受国家政策的温度。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3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项目三：期末财务处理与报表编制（16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3.1：期末调账与结账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期末账项调整（累计折旧、无形资产摊销、存货跌价准备计提）；2. 损益类科目结转（本年利润计算）；3. 用友 BIP 期末结账模块操作（自动转账设置、结账核对、差错更正）。要求：1. 能准确识别需调整的账项，无遗漏调整情况；2. 能独立完成损益结转，本年利润计算误差率≤0.5%；3. 能顺利完成期末结账，解决结账过程中的常见问题（如试算不平衡）。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流程教学：教师绘制 “期末处理流程图”，讲解调账 - 结转 - 结账逻辑；2. 实操任务：学生在软件中完成 “企业 12 月期末处理”，提交调账凭证 + 结账日志；3. 难点突破：针对 “试算不平衡”“未达账项调整” 等难点，开展专题辅导。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融入 “企业因期末调账不及时导致报表失真” 案例，强调期末处理的时效性与准确性，培养学生 “精益求精” 的工匠精神；2. 讲解 “本年利润核算对企业决策的影响”，引导学生树立 “责任闭环” 意识。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3.2：财务报表编制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资产负债表、利润表编制原理与填列规则；2. 报表勾稽关系核查（如资产负债表 “未分配利润” 与利润表 “净利润” 关联）；3. Power BI 财务报表可视化（数据导入、图表生成、动态仪表盘制作）。要求：1. 能独立编制资产负债表、利润表，项目填列准确率≥98%；2. 能识别并修正报表勾稽关系差异，无重大逻辑错误；3. 能使用 Power BI 生成 3 种以上报表可视化图表（如资产结构饼图、利润趋势线图）。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演示教学：教师通过 Power BI 演示 “财务数据导入 - 报表生成 - 勾稽关系核查” 全流程；2. 实操任务：学生基于模拟企业账务数据，完成报表编制与可视化，提交报表文件 + 可视化成果；3. 交叉审核：学生分组互审报表，提出修改意见并整改，教师最终复核。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引入 “上市公司财务报表造假退市” 案例（如安然事件），对比 “优秀企业真实披露案例”，强调 “真实披露是企业生命线”，培养学生诚信执业意识；2. 讲解 “财务报表对投资者决策的影响”，引导学生树立 “保护投资者权益” 的职业责任感。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3.3：财务报表基础分析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核心财务指标计算（偿债能力：流动比率；盈利能力：毛利率；营运能力：应收账款周转率）；2. 指标变动分析（本期与上期对比、与行业均值对比）；3. 简易财务分析报告撰写（结构：现状 - 问题 - 建议）。要求：1. 能准确计算 3 类以上核心财务指标，无公式错误；2. 能分析指标变动原因，提出 2 条以上合理推测；3. 能撰写 800 字以上分析报告，逻辑清晰、建议可行。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案例分析：以 “制造业 A 企业年度报表” 为例，演示指标计算与分析过程；2. 小组任务：4 人一组，基于给定企业报表数据完成指标计算与分析报告，进行成果汇报；3. 点评优化：教师针对报告中的 “分析深度不足、建议空泛” 等问题，指导优化。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融入 “分析师因精准分析发现企业风险” 案例，培养学生 “敏锐洞察、客观分析” 的职业素养；2. 讲解 “财务分析对企业战略调整的支撑作用”，引导学生树立 “用数据说话、为决策赋能” 的思维。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4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项目四：业财融合与财务数据应用（16 学时）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4.1：业财数据关联分析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业财融合逻辑（业务数据：采购订单 / 销售合同→财务数据：成本 / 收入）；2. ERP 系统业务模块与财务模块数据对接（如库存模块 “存货收发存” 与财务 “存货核算” 数据匹配）；3. Excel 数据透视表在业财数据交叉分析中的应用（如 “按产品类别分析销售利润”）。要求：1. 能识别 3 个以上业财数据关联节点，无关联逻辑错误；2. 能使用 Excel 数据透视表完成业财数据交叉分析，生成 1 份分析图表；3. 能排查业财数据差异（如库存账实不符），提出 1 条以上整改建议。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跨课程联动：邀请《财务大数据分析》课程教师共同授课，讲解业财数据融合逻辑；2. 实操任务：学生使用企业真实业财数据集（如合作企业供应链数据），完成 “采购成本与库存周转率关联分析”；3. 成果展示：学生以 PPT 形式汇报分析结论，企业导师点评指导。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融入 “业财数据脱节导致企业决策失误” 案例，强调 “业财融合是企业数字化转型关键”，培养学生 “全局思维”；2. 讲解 “数据驱动业务优化” 的典型案例（如某企业通过业财分析降低库存成本），引导学生树立 “创新驱动” 意识。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4.2：财务数据合规与安全管理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《数据安全法》《个人信息保护法》对财务数据的要求（如敏感数据脱敏、数据存储期限）；2. 财务数据脱敏处理（如客户银行卡号、身份证号脱敏方法）；3. 用友 BIP 数据安全模块操作（数据权限设置、操作日志查询）。要求：1. 能识别财务数据中的敏感信息（如银行账户、薪酬明细），识别率 100%；2. 能使用脱敏工具完成 50 条以上敏感数据处理，脱敏合规率 100%；3. 能在软件中设置财务数据访问权限，确保 “权责对等”。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法规解读：邀请法务专家解读《数据安全法》第 21 条及财务数据合规要点；2. 实操训练：学生对模拟企业敏感财务数据（如员工薪酬表、客户付款信息）进行脱敏处理；3. 小组讨论：制定 “企业财务数据安全管理方案”，涵盖数据采集、存储、使用全流程。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引入 “企业财务数据泄露导致客户流失” 案例，强调数据安全对企业信誉的影响，培养学生 “数据安全无小事” 的责任意识；2. 讲解 “数据合规是企业可持续发展的前提”，引导学生树立 “依法管数、合规用数” 的理念。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任务 4.3：智能财税工具综合应用与认证准备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学习内容：1. 智能财税工具整合应用（用友 BIP+Power BI + 个税申报系统协同操作）；2. “智能财税应用师（初级）” 认证考点解读（如智能账务处理、报表自动化）；3. 模拟认证考试（题型：实操题 + 案例分析题）。要求：1. 能完成 3 个以上智能工具协同操作，流程衔接顺畅；2. 能掌握认证核心考点，模拟考试得分≥80 分；3. 能独立完成 “企业月度财税全流程处理”（从账务到申报），耗时≤4 小时。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专项辅导：邀请认证培训机构讲师讲解考点与答题技巧；2. 模拟训练：学生在认证模拟平台完成 2 套模拟试卷，教师批改并讲解；3. 综合实训：开展 “智能财税全流程竞赛”，以 “准确率 + 效率” 为评分标准，评选优秀学员。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1. 融入 “智能财税人才职业发展” 案例（如持证者晋升财务主管），鼓励学生主动提升职业技能，培养 “终身学习” 意识；2. 讲解 “智能财税技术对会计行业的变革”，引导学生拥抱技术、积极转型，树立 “技术向善” 的职业追求。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合计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-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  <w:szCs w:val="22"/>
              </w:rPr>
            </w:pPr>
            <w:r>
              <w:rPr>
                <w:rFonts w:ascii="Arial" w:hAnsi="Arial" w:eastAsia="等线" w:cs="Arial"/>
                <w:sz w:val="22"/>
                <w:szCs w:val="22"/>
              </w:rPr>
              <w:t>64</w:t>
            </w:r>
          </w:p>
        </w:tc>
      </w:tr>
    </w:tbl>
    <w:p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>
      <w:pPr>
        <w:pStyle w:val="2"/>
        <w:ind w:firstLine="653"/>
      </w:pPr>
      <w:bookmarkStart w:id="31" w:name="_Toc20287"/>
      <w:bookmarkStart w:id="32" w:name="_Toc502337267"/>
      <w:bookmarkStart w:id="33" w:name="_Toc29952"/>
      <w:r>
        <w:rPr>
          <w:rFonts w:hint="eastAsia"/>
        </w:rPr>
        <w:t>七、学习评价</w:t>
      </w:r>
      <w:bookmarkEnd w:id="31"/>
      <w:bookmarkEnd w:id="32"/>
      <w:bookmarkEnd w:id="33"/>
    </w:p>
    <w:p>
      <w:pPr>
        <w:pStyle w:val="31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本课程采用 “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能力导向、过程为重、多维度融合</w:t>
      </w:r>
      <w:r>
        <w:rPr>
          <w:rFonts w:hint="eastAsia" w:ascii="仿宋_GB2312" w:hAnsi="仿宋_GB2312" w:eastAsia="仿宋_GB2312" w:cs="仿宋_GB2312"/>
          <w:sz w:val="28"/>
          <w:szCs w:val="28"/>
        </w:rPr>
        <w:t>” 的评价体系，打破传统 “笔试为主” 的单一模式，以 “职业岗位能力达标” 为核心，结合学校观测要求中的 “多维度过程性评价”，构建 “过程性评价 + 终结性评价 + 附加评价” 的三级评价体系，具体如下：</w:t>
      </w:r>
    </w:p>
    <w:p>
      <w:pPr>
        <w:pStyle w:val="3"/>
      </w:pPr>
      <w:bookmarkStart w:id="34" w:name="_Toc22426"/>
      <w:r>
        <w:t>（一）评价原则</w:t>
      </w:r>
      <w:bookmarkEnd w:id="34"/>
    </w:p>
    <w:p>
      <w:pPr>
        <w:pStyle w:val="31"/>
        <w:numPr>
          <w:ilvl w:val="0"/>
          <w:numId w:val="3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能力导向</w:t>
      </w:r>
      <w:r>
        <w:rPr>
          <w:rFonts w:hint="eastAsia" w:ascii="仿宋_GB2312" w:hAnsi="仿宋_GB2312" w:eastAsia="仿宋_GB2312" w:cs="仿宋_GB2312"/>
          <w:sz w:val="28"/>
          <w:szCs w:val="28"/>
        </w:rPr>
        <w:t>：聚焦会计核算、智能工具应用、业财分析等核心岗位能力，以 “能做事、做对事” 为评价核心；</w:t>
      </w:r>
    </w:p>
    <w:p>
      <w:pPr>
        <w:pStyle w:val="31"/>
        <w:numPr>
          <w:ilvl w:val="0"/>
          <w:numId w:val="3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过程跟踪</w:t>
      </w:r>
      <w:r>
        <w:rPr>
          <w:rFonts w:hint="eastAsia" w:ascii="仿宋_GB2312" w:hAnsi="仿宋_GB2312" w:eastAsia="仿宋_GB2312" w:cs="仿宋_GB2312"/>
          <w:sz w:val="28"/>
          <w:szCs w:val="28"/>
        </w:rPr>
        <w:t>：记录学生从 “认知 - 模仿 - 实践 - 创新” 的全学习过程，避免 “一考定终身”；</w:t>
      </w:r>
    </w:p>
    <w:p>
      <w:pPr>
        <w:pStyle w:val="31"/>
        <w:numPr>
          <w:ilvl w:val="0"/>
          <w:numId w:val="3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多元参与</w:t>
      </w:r>
      <w:r>
        <w:rPr>
          <w:rFonts w:hint="eastAsia" w:ascii="仿宋_GB2312" w:hAnsi="仿宋_GB2312" w:eastAsia="仿宋_GB2312" w:cs="仿宋_GB2312"/>
          <w:sz w:val="28"/>
          <w:szCs w:val="28"/>
        </w:rPr>
        <w:t>：融合教师评价、企业导师评价、学生互评，确保评价客观全面；</w:t>
      </w:r>
    </w:p>
    <w:p>
      <w:pPr>
        <w:pStyle w:val="31"/>
        <w:numPr>
          <w:ilvl w:val="0"/>
          <w:numId w:val="3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合规导向</w:t>
      </w:r>
      <w:r>
        <w:rPr>
          <w:rFonts w:hint="eastAsia" w:ascii="仿宋_GB2312" w:hAnsi="仿宋_GB2312" w:eastAsia="仿宋_GB2312" w:cs="仿宋_GB2312"/>
          <w:sz w:val="28"/>
          <w:szCs w:val="28"/>
        </w:rPr>
        <w:t>：将数据安全、合规核算等要求纳入评价，呼应《数据安全法》及行业规范。</w:t>
      </w:r>
    </w:p>
    <w:p>
      <w:pPr>
        <w:pStyle w:val="3"/>
      </w:pPr>
      <w:bookmarkStart w:id="35" w:name="_Toc8213"/>
      <w:r>
        <w:t>（二）具体评价方案</w:t>
      </w:r>
      <w:bookmarkEnd w:id="35"/>
    </w:p>
    <w:p>
      <w:pPr>
        <w:pStyle w:val="31"/>
      </w:pPr>
      <w:r>
        <w:t>表 4 学习评价表</w:t>
      </w:r>
    </w:p>
    <w:p>
      <w:pPr>
        <w:pStyle w:val="31"/>
      </w:pP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431"/>
        <w:gridCol w:w="895"/>
        <w:gridCol w:w="1252"/>
        <w:gridCol w:w="1133"/>
        <w:gridCol w:w="1351"/>
        <w:gridCol w:w="1252"/>
        <w:gridCol w:w="1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评价类型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评价环节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课程内容（模块 / 项目）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学习任务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评价标准（学习产出合格要求）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评价方法（方法 + 工具 + 场所）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占比（%）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过程性评价（60%）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课堂实训任务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项目一至项目四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各模块实操任务（如账套建立、凭证编制、报表可视化）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操作规范性：符合智能软件操作流程，无违规操作；2. 结果准确性：凭证正确率≥95%，报表勾稽关系无错误，数据计算误差率≤1%；3. 完成时效性：单次实训任务在规定时间（如 2 小时 / 任务）内完成。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方法：教师现场巡查、软件自动评分；2. 工具：用友 BIP 操作日志、实训任务评分表；3. 场所：校内智能财会实训室。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小组项目成果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项目二（采购 / 销售业务）、项目四（业财分析）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小组综合任务（如业财数据关联分析、财务数据安全方案）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成果完整性：包含任务说明书、操作过程记录、分析报告，要素无缺失；2. 专业深度：能识别业务痛点（如采购成本过高），提出 2 条以上可行建议；3. 协作性：小组分工明确，成员贡献度均衡（通过分工表、互评表验证）。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方法：教师评价 + 企业导师点评 + 小组互评；2. 工具：项目成果评分表、小组分工表、成员贡献度互评表；3. 场所：校内实训室 + 企业线上点评平台。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学习日志与反思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项目一至项目四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每周学习日志（记录疑点、技能提升、法规理解）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真实性：反映真实学习过程，无编造内容；2. 深度：能分析学习难点（如期末结账问题），并记录解决思路；3. 持续性：每周按时提交，缺交次数≤1 次。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方法：教师批阅 + 不定期抽查；2. 工具：学习日志模板（含 “问题 - 解决 - 反思” 三栏）；3. 场所：超星学习通线上平台。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终结性评价（40%）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综合实操考核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项目三（报表编制）、项目四（全流程处理）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企业月度财税全流程处理（账务处理→报表编制→简易分析）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流程完整性：覆盖 “凭证 - 账簿 - 报表 - 分析” 全环节，无遗漏；2. 合规性：科目使用、税费计算、报表填列符合《企业会计准则》及税法要求；3. 成果质量：报表勾稽关系正确，分析报告逻辑清晰、建议可行。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方法：闭卷实操考核，教师统一阅卷；2. 工具：考核专用数据集、实操考核评分细则（含合规性、准确性、完整性指标）；3. 场所：校内智能财税虚拟仿真实训中心。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附加评价（加分项）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职业技能认证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项目四（认证准备）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“智能财税应用师（初级）” 认证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取得证书或模拟考试≥90 分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方法：证书核验 + 模拟成绩验证；2. 工具：认证证书扫描件、模拟考试成绩单；3. 场所：线上认证平台 + 校内实训室。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≤5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学科竞赛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项目四（综合实训）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校级财务案例分析大赛 / 智能财税竞赛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获得校级及以上奖项（一等奖 / 二等奖 / 三等奖）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方法：竞赛获奖证书核验；2. 工具：竞赛获奖证书扫描件；3. 场所：竞赛举办场地（校内 / 校外）。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≤5</w:t>
            </w:r>
          </w:p>
        </w:tc>
      </w:tr>
    </w:tbl>
    <w:p>
      <w:pPr>
        <w:pStyle w:val="3"/>
      </w:pPr>
      <w:bookmarkStart w:id="36" w:name="_Toc28989"/>
      <w:r>
        <w:t>（三）成绩等级划分</w:t>
      </w:r>
      <w:bookmarkEnd w:id="36"/>
    </w:p>
    <w:p>
      <w:pPr>
        <w:pStyle w:val="31"/>
        <w:numPr>
          <w:ilvl w:val="0"/>
          <w:numId w:val="4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优秀（90-100 分）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：过程性评价≥54 分，终结性评价≥36 分，且附加评价至少满足 1 项，能熟练完成复杂会计事项处理，具备一定创新应用能力（如优化财务流程）；</w:t>
      </w:r>
    </w:p>
    <w:p>
      <w:pPr>
        <w:pStyle w:val="31"/>
        <w:numPr>
          <w:ilvl w:val="0"/>
          <w:numId w:val="4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良好（80-89 分）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：过程性评价≥48 分，终结性评价≥32 分，能独立完成核心会计任务，智能工具应用熟练；</w:t>
      </w:r>
    </w:p>
    <w:p>
      <w:pPr>
        <w:pStyle w:val="31"/>
        <w:numPr>
          <w:ilvl w:val="0"/>
          <w:numId w:val="4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合格（60-79 分）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：过程性评价≥36 分，终结性评价≥24 分，能在指导下完成基础会计任务，无重大合规性错误；</w:t>
      </w:r>
    </w:p>
    <w:p>
      <w:pPr>
        <w:pStyle w:val="31"/>
        <w:numPr>
          <w:ilvl w:val="0"/>
          <w:numId w:val="4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不合格（＜60 分）</w:t>
      </w:r>
      <w:r>
        <w:rPr>
          <w:rFonts w:hint="eastAsia" w:ascii="仿宋_GB2312" w:hAnsi="仿宋_GB2312" w:eastAsia="仿宋_GB2312" w:cs="仿宋_GB2312"/>
          <w:sz w:val="28"/>
          <w:szCs w:val="28"/>
        </w:rPr>
        <w:t>：未达到合格标准，或存在严重合规性错误（如故意编造财务数据），需参加补考（补考形式：实操重训 + 综合考核）。</w:t>
      </w:r>
    </w:p>
    <w:bookmarkEnd w:id="3"/>
    <w:bookmarkEnd w:id="4"/>
    <w:bookmarkEnd w:id="5"/>
    <w:p>
      <w:pPr>
        <w:pStyle w:val="2"/>
      </w:pPr>
      <w:bookmarkStart w:id="37" w:name="_Toc19374"/>
      <w:r>
        <w:t>八、教学资源</w:t>
      </w:r>
      <w:bookmarkEnd w:id="37"/>
    </w:p>
    <w:p>
      <w:pPr>
        <w:pStyle w:val="3"/>
        <w:rPr>
          <w:rFonts w:hint="eastAsia" w:ascii="仿宋_GB2312" w:hAnsi="仿宋_GB2312" w:eastAsia="仿宋_GB2312" w:cs="仿宋_GB2312"/>
          <w:sz w:val="28"/>
          <w:szCs w:val="28"/>
        </w:rPr>
      </w:pPr>
      <w:bookmarkStart w:id="38" w:name="_Toc10640"/>
      <w:r>
        <w:rPr>
          <w:rFonts w:hint="eastAsia" w:ascii="仿宋_GB2312" w:hAnsi="仿宋_GB2312" w:eastAsia="仿宋_GB2312" w:cs="仿宋_GB2312"/>
          <w:sz w:val="28"/>
          <w:szCs w:val="28"/>
        </w:rPr>
        <w:t>（一）主要参考教材</w:t>
      </w:r>
      <w:bookmarkEnd w:id="38"/>
    </w:p>
    <w:p>
      <w:pPr>
        <w:pStyle w:val="31"/>
        <w:numPr>
          <w:ilvl w:val="0"/>
          <w:numId w:val="5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核心教材</w:t>
      </w:r>
      <w:r>
        <w:rPr>
          <w:rFonts w:hint="eastAsia" w:ascii="仿宋_GB2312" w:hAnsi="仿宋_GB2312" w:eastAsia="仿宋_GB2312" w:cs="仿宋_GB2312"/>
          <w:sz w:val="28"/>
          <w:szCs w:val="28"/>
        </w:rPr>
        <w:t>：《企业财务会计（第 4 版）》，主编：周建龙，出版社：高等教育出版社，2023 年（符合 2025 版财务会计类专业教学标准，涵盖智能财务工具应用内容）；</w:t>
      </w:r>
    </w:p>
    <w:p>
      <w:pPr>
        <w:pStyle w:val="31"/>
        <w:numPr>
          <w:ilvl w:val="0"/>
          <w:numId w:val="5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辅助教材</w:t>
      </w:r>
      <w:r>
        <w:rPr>
          <w:rFonts w:hint="eastAsia" w:ascii="仿宋_GB2312" w:hAnsi="仿宋_GB2312" w:eastAsia="仿宋_GB2312" w:cs="仿宋_GB2312"/>
          <w:sz w:val="28"/>
          <w:szCs w:val="28"/>
        </w:rPr>
        <w:t>：《智能财税应用教程（用友 BIP 版）》，主编：用友教育研究院，出版社：人民邮电出版社，2024 年（匹配课程智能软件操作需求）。</w:t>
      </w:r>
    </w:p>
    <w:p>
      <w:pPr>
        <w:pStyle w:val="3"/>
        <w:rPr>
          <w:rFonts w:hint="eastAsia" w:ascii="仿宋_GB2312" w:hAnsi="仿宋_GB2312" w:eastAsia="仿宋_GB2312" w:cs="仿宋_GB2312"/>
          <w:sz w:val="28"/>
          <w:szCs w:val="28"/>
        </w:rPr>
      </w:pPr>
      <w:bookmarkStart w:id="39" w:name="_Toc889"/>
      <w:r>
        <w:rPr>
          <w:rFonts w:hint="eastAsia" w:ascii="仿宋_GB2312" w:hAnsi="仿宋_GB2312" w:eastAsia="仿宋_GB2312" w:cs="仿宋_GB2312"/>
          <w:sz w:val="28"/>
          <w:szCs w:val="28"/>
        </w:rPr>
        <w:t>（二）其他参考资料</w:t>
      </w:r>
      <w:bookmarkEnd w:id="39"/>
    </w:p>
    <w:p>
      <w:pPr>
        <w:pStyle w:val="31"/>
        <w:numPr>
          <w:ilvl w:val="0"/>
          <w:numId w:val="6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法规文件</w:t>
      </w:r>
      <w:r>
        <w:rPr>
          <w:rFonts w:hint="eastAsia" w:ascii="仿宋_GB2312" w:hAnsi="仿宋_GB2312" w:eastAsia="仿宋_GB2312" w:cs="仿宋_GB2312"/>
          <w:sz w:val="28"/>
          <w:szCs w:val="28"/>
        </w:rPr>
        <w:t>：《企业会计准则（2024 年版）》（财政部发布）、《数据安全法》《个人信息保护法》（全国人大常委会发布）、《金税四期征管操作指引》（国家税务总局发布）；</w:t>
      </w:r>
    </w:p>
    <w:p>
      <w:pPr>
        <w:pStyle w:val="31"/>
        <w:numPr>
          <w:ilvl w:val="0"/>
          <w:numId w:val="6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行业报告</w:t>
      </w:r>
      <w:r>
        <w:rPr>
          <w:rFonts w:hint="eastAsia" w:ascii="仿宋_GB2312" w:hAnsi="仿宋_GB2312" w:eastAsia="仿宋_GB2312" w:cs="仿宋_GB2312"/>
          <w:sz w:val="28"/>
          <w:szCs w:val="28"/>
        </w:rPr>
        <w:t>：《中国智能财税发展白皮书（2024）》（用友研究院、中国会计学会联合发布）、《大数据与会计职业岗位能力需求报告》（高职财经类专业教指委发布）；</w:t>
      </w:r>
    </w:p>
    <w:p>
      <w:pPr>
        <w:pStyle w:val="31"/>
        <w:numPr>
          <w:ilvl w:val="0"/>
          <w:numId w:val="6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案例集</w:t>
      </w:r>
      <w:r>
        <w:rPr>
          <w:rFonts w:hint="eastAsia" w:ascii="仿宋_GB2312" w:hAnsi="仿宋_GB2312" w:eastAsia="仿宋_GB2312" w:cs="仿宋_GB2312"/>
          <w:sz w:val="28"/>
          <w:szCs w:val="28"/>
        </w:rPr>
        <w:t>：《企业财务会计典型案例解析（含业财融合案例）》，主编：李敏，出版社：立信会计出版社，2024 年。</w:t>
      </w:r>
    </w:p>
    <w:p>
      <w:pPr>
        <w:pStyle w:val="3"/>
      </w:pPr>
      <w:bookmarkStart w:id="40" w:name="_Toc10620"/>
      <w:r>
        <w:t>（三）实训条件</w:t>
      </w:r>
      <w:bookmarkEnd w:id="40"/>
    </w:p>
    <w:p>
      <w:pPr>
        <w:pStyle w:val="4"/>
      </w:pPr>
      <w:bookmarkStart w:id="41" w:name="_Toc12525"/>
      <w:r>
        <w:t>1. 校内实训条件</w:t>
      </w:r>
      <w:bookmarkEnd w:id="41"/>
    </w:p>
    <w:p>
      <w:pPr>
        <w:pStyle w:val="31"/>
      </w:pP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47"/>
        <w:gridCol w:w="2191"/>
        <w:gridCol w:w="2191"/>
        <w:gridCol w:w="21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实训场所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硬件设施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软件设施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功能用途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智能财会实训室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高性能计算机 60 台（CPU i5 及以上，内存 8G 及以上）；2. 千兆网络环境、投影仪、智慧黑板；3. 打印机、扫描仪（支持发票扫描）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用友 BIP 财务云系统（含账务、报表、薪资、税务模块）；2. 金税四期模拟申报系统；3. 网中网智能财税实训平台；4. Power BI、Python 数据分析工具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日常账务处理、报表编制实训；2. 智能财税工具操作训练；3. 模拟纳税申报实训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智能财税虚拟仿真实训中心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虚拟仿真服务器（支持 60 人同时在线）；2. VR 设备 10 套（可选）；3. 多媒体交互屏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企业全流程财税虚拟仿真系统；2. 业财融合模拟系统（含采购、销售、库存模块）；3. 财务数据安全实训系统</w:t>
            </w:r>
          </w:p>
        </w:tc>
        <w:tc>
          <w:tcPr>
            <w:tcW w:w="276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pStyle w:val="31"/>
            </w:pPr>
            <w:r>
              <w:t>1. 企业筹建 - 经营 - 期末全流程虚拟实训；2. 业财数据关联分析实训；3. 财务数据脱敏、权限管理实训</w:t>
            </w:r>
          </w:p>
        </w:tc>
      </w:tr>
    </w:tbl>
    <w:p>
      <w:pPr>
        <w:pStyle w:val="4"/>
      </w:pPr>
      <w:bookmarkStart w:id="42" w:name="_Toc12322"/>
      <w:r>
        <w:t>2. 校外实训条件</w:t>
      </w:r>
      <w:bookmarkEnd w:id="42"/>
    </w:p>
    <w:p>
      <w:pPr>
        <w:pStyle w:val="31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依托学校 8 家校外实训基地（如贵州爱信诺航天信息有限公司、贵州黔元会计师事务所有限公司），提供以下实训支持：</w:t>
      </w:r>
    </w:p>
    <w:p>
      <w:pPr>
        <w:pStyle w:val="31"/>
        <w:numPr>
          <w:ilvl w:val="0"/>
          <w:numId w:val="7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岗位见习</w:t>
      </w:r>
      <w:r>
        <w:rPr>
          <w:rFonts w:hint="eastAsia" w:ascii="仿宋_GB2312" w:hAnsi="仿宋_GB2312" w:eastAsia="仿宋_GB2312" w:cs="仿宋_GB2312"/>
          <w:sz w:val="28"/>
          <w:szCs w:val="28"/>
        </w:rPr>
        <w:t>：安排学生在企业会计核算岗、财务分析岗见习，参与真实账务处理（如发票审核、凭证装订）；</w:t>
      </w:r>
    </w:p>
    <w:p>
      <w:pPr>
        <w:pStyle w:val="31"/>
        <w:numPr>
          <w:ilvl w:val="0"/>
          <w:numId w:val="7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真实数据集</w:t>
      </w:r>
      <w:r>
        <w:rPr>
          <w:rFonts w:hint="eastAsia" w:ascii="仿宋_GB2312" w:hAnsi="仿宋_GB2312" w:eastAsia="仿宋_GB2312" w:cs="仿宋_GB2312"/>
          <w:sz w:val="28"/>
          <w:szCs w:val="28"/>
        </w:rPr>
        <w:t>：企业提供脱敏后的真实业务数据（如供应链成本数据、销售数据），用于课程综合实训；</w:t>
      </w:r>
    </w:p>
    <w:p>
      <w:pPr>
        <w:pStyle w:val="31"/>
        <w:numPr>
          <w:ilvl w:val="0"/>
          <w:numId w:val="7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企业导师指导</w:t>
      </w:r>
      <w:r>
        <w:rPr>
          <w:rFonts w:hint="eastAsia" w:ascii="仿宋_GB2312" w:hAnsi="仿宋_GB2312" w:eastAsia="仿宋_GB2312" w:cs="仿宋_GB2312"/>
          <w:sz w:val="28"/>
          <w:szCs w:val="28"/>
        </w:rPr>
        <w:t>：企业财务负责人定期到校授课或线上点评学生实训成果，提供行业最新实践案例。</w:t>
      </w:r>
    </w:p>
    <w:p>
      <w:pPr>
        <w:pStyle w:val="3"/>
        <w:rPr>
          <w:rFonts w:hint="eastAsia" w:ascii="仿宋_GB2312" w:hAnsi="仿宋_GB2312" w:eastAsia="仿宋_GB2312" w:cs="仿宋_GB2312"/>
          <w:sz w:val="28"/>
          <w:szCs w:val="28"/>
        </w:rPr>
      </w:pPr>
      <w:bookmarkStart w:id="43" w:name="_Toc11289"/>
      <w:r>
        <w:rPr>
          <w:rFonts w:hint="eastAsia" w:ascii="仿宋_GB2312" w:hAnsi="仿宋_GB2312" w:eastAsia="仿宋_GB2312" w:cs="仿宋_GB2312"/>
          <w:sz w:val="28"/>
          <w:szCs w:val="28"/>
        </w:rPr>
        <w:t>（四）信息化教学资源</w:t>
      </w:r>
      <w:bookmarkEnd w:id="43"/>
    </w:p>
    <w:p>
      <w:pPr>
        <w:pStyle w:val="31"/>
        <w:numPr>
          <w:ilvl w:val="0"/>
          <w:numId w:val="8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在线课程资源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国家精品在线课程：《企业财务会计》（中国大学 MOOC，东北财经大学开设）；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校级在线课程：《智能财务会计实操》（超星学习通平台，含微课、课件、实训任务单）；</w:t>
      </w:r>
    </w:p>
    <w:p>
      <w:pPr>
        <w:pStyle w:val="31"/>
        <w:numPr>
          <w:ilvl w:val="0"/>
          <w:numId w:val="10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数字资源库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会计法规数据库（实时更新《企业会计准则》《税法》等法规）；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智能财税工具教程库（用友 BIP 操作视频、Power BI 报表制作教程）；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案例资源库（含制造业、服务业等多行业财务会计案例，每月更新）；</w:t>
      </w:r>
    </w:p>
    <w:p>
      <w:pPr>
        <w:pStyle w:val="31"/>
        <w:numPr>
          <w:ilvl w:val="0"/>
          <w:numId w:val="11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互动平台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超星学习通（用于提交作业、开展讨论、发布学习资源）；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企业微信工作群（连接校内教师与企业导师，实时解答学生疑问）。</w:t>
      </w:r>
    </w:p>
    <w:p>
      <w:pPr>
        <w:pStyle w:val="2"/>
      </w:pPr>
      <w:bookmarkStart w:id="44" w:name="_Toc23779"/>
      <w:r>
        <w:t>九、师资要求</w:t>
      </w:r>
      <w:bookmarkEnd w:id="44"/>
    </w:p>
    <w:p>
      <w:pPr>
        <w:pStyle w:val="31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为满足课程 “理实一体、数字赋能、产教融合” 的教学需求，结合学校观测要求中 “师资能力双门槛”，对课程师资提出以下要求：</w:t>
      </w:r>
    </w:p>
    <w:p>
      <w:pPr>
        <w:pStyle w:val="3"/>
        <w:rPr>
          <w:rFonts w:hint="eastAsia" w:ascii="仿宋_GB2312" w:hAnsi="仿宋_GB2312" w:eastAsia="仿宋_GB2312" w:cs="仿宋_GB2312"/>
          <w:sz w:val="28"/>
          <w:szCs w:val="28"/>
        </w:rPr>
      </w:pPr>
      <w:bookmarkStart w:id="45" w:name="_Toc26664"/>
      <w:r>
        <w:rPr>
          <w:rFonts w:hint="eastAsia" w:ascii="仿宋_GB2312" w:hAnsi="仿宋_GB2312" w:eastAsia="仿宋_GB2312" w:cs="仿宋_GB2312"/>
          <w:sz w:val="28"/>
          <w:szCs w:val="28"/>
        </w:rPr>
        <w:t>（一）基本资质</w:t>
      </w:r>
      <w:bookmarkEnd w:id="45"/>
    </w:p>
    <w:p>
      <w:pPr>
        <w:pStyle w:val="31"/>
        <w:numPr>
          <w:ilvl w:val="0"/>
          <w:numId w:val="12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学历与专业</w:t>
      </w:r>
      <w:r>
        <w:rPr>
          <w:rFonts w:hint="eastAsia" w:ascii="仿宋_GB2312" w:hAnsi="仿宋_GB2312" w:eastAsia="仿宋_GB2312" w:cs="仿宋_GB2312"/>
          <w:sz w:val="28"/>
          <w:szCs w:val="28"/>
        </w:rPr>
        <w:t>：具备会计学、财务管理、大数据与会计等相关专业硕士及以上学历（或本科 + 中级会计师及以上职称）；</w:t>
      </w:r>
    </w:p>
    <w:p>
      <w:pPr>
        <w:pStyle w:val="31"/>
        <w:numPr>
          <w:ilvl w:val="0"/>
          <w:numId w:val="12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教师资格</w:t>
      </w:r>
      <w:r>
        <w:rPr>
          <w:rFonts w:hint="eastAsia" w:ascii="仿宋_GB2312" w:hAnsi="仿宋_GB2312" w:eastAsia="仿宋_GB2312" w:cs="仿宋_GB2312"/>
          <w:sz w:val="28"/>
          <w:szCs w:val="28"/>
        </w:rPr>
        <w:t>：持有高校教师资格证，熟悉高职教育教学规律；</w:t>
      </w:r>
    </w:p>
    <w:p>
      <w:pPr>
        <w:pStyle w:val="31"/>
        <w:numPr>
          <w:ilvl w:val="0"/>
          <w:numId w:val="12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技术资质</w:t>
      </w:r>
      <w:r>
        <w:rPr>
          <w:rFonts w:hint="eastAsia" w:ascii="仿宋_GB2312" w:hAnsi="仿宋_GB2312" w:eastAsia="仿宋_GB2312" w:cs="仿宋_GB2312"/>
          <w:sz w:val="28"/>
          <w:szCs w:val="28"/>
        </w:rPr>
        <w:t>：需持有以下至少 1 项技术证书：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工信部 “智能财税应用师（中级）” 或 “大数据工程师（初级）” 证书；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用友 BIP 财务云系统认证讲师证书；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DCMM 数据工程师（初级）证书。</w:t>
      </w:r>
    </w:p>
    <w:p>
      <w:pPr>
        <w:pStyle w:val="3"/>
        <w:rPr>
          <w:rFonts w:hint="eastAsia" w:ascii="仿宋_GB2312" w:hAnsi="仿宋_GB2312" w:eastAsia="仿宋_GB2312" w:cs="仿宋_GB2312"/>
          <w:sz w:val="28"/>
          <w:szCs w:val="28"/>
        </w:rPr>
      </w:pPr>
      <w:bookmarkStart w:id="46" w:name="_Toc2656"/>
      <w:r>
        <w:rPr>
          <w:rFonts w:hint="eastAsia" w:ascii="仿宋_GB2312" w:hAnsi="仿宋_GB2312" w:eastAsia="仿宋_GB2312" w:cs="仿宋_GB2312"/>
          <w:sz w:val="28"/>
          <w:szCs w:val="28"/>
        </w:rPr>
        <w:t>（二）教学能力</w:t>
      </w:r>
      <w:bookmarkEnd w:id="46"/>
    </w:p>
    <w:p>
      <w:pPr>
        <w:pStyle w:val="31"/>
        <w:numPr>
          <w:ilvl w:val="0"/>
          <w:numId w:val="13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专业能力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熟练掌握《企业会计准则》《数据安全法》等法规，能准确解读行业政策；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精通用友 BIP、Power BI 等智能工具操作，能指导学生解决软件实操难题；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具备企业财务会计实务经验（如 3 年以上企业会计工作经历或 6 个月以上企业实践经历），能结合真实案例授课；</w:t>
      </w:r>
    </w:p>
    <w:p>
      <w:pPr>
        <w:pStyle w:val="31"/>
        <w:numPr>
          <w:ilvl w:val="0"/>
          <w:numId w:val="14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教学方法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能运用案例教学、项目教学、小组协作等方法，实现 “理实一体” 教学；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能利用信息化工具（如超星学习通、虚拟仿真系统）开展混合式教学；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能设计课程思政载体，将职业道德、数据伦理有机融入教学；</w:t>
      </w:r>
    </w:p>
    <w:p>
      <w:pPr>
        <w:pStyle w:val="31"/>
        <w:numPr>
          <w:ilvl w:val="0"/>
          <w:numId w:val="15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产教融合能力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能与校外实训基地企业对接，获取真实业务数据与案例；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能邀请企业导师参与课程教学（如共同授课、点评实训成果）；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能参与企业财务咨询、数据治理等项目，将行业最新动态融入课程。</w:t>
      </w:r>
    </w:p>
    <w:p>
      <w:pPr>
        <w:pStyle w:val="3"/>
        <w:rPr>
          <w:rFonts w:hint="eastAsia" w:ascii="仿宋_GB2312" w:hAnsi="仿宋_GB2312" w:eastAsia="仿宋_GB2312" w:cs="仿宋_GB2312"/>
          <w:sz w:val="28"/>
          <w:szCs w:val="28"/>
        </w:rPr>
      </w:pPr>
      <w:bookmarkStart w:id="47" w:name="_Toc16590"/>
      <w:r>
        <w:rPr>
          <w:rFonts w:hint="eastAsia" w:ascii="仿宋_GB2312" w:hAnsi="仿宋_GB2312" w:eastAsia="仿宋_GB2312" w:cs="仿宋_GB2312"/>
          <w:sz w:val="28"/>
          <w:szCs w:val="28"/>
        </w:rPr>
        <w:t>（三）持续发展要求</w:t>
      </w:r>
      <w:bookmarkEnd w:id="47"/>
    </w:p>
    <w:p>
      <w:pPr>
        <w:pStyle w:val="31"/>
        <w:numPr>
          <w:ilvl w:val="0"/>
          <w:numId w:val="16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每年参与至少 1 次智能财税领域培训（如用友 BIP 新版本培训、智能财税认证师资培训）；</w:t>
      </w:r>
    </w:p>
    <w:p>
      <w:pPr>
        <w:pStyle w:val="31"/>
        <w:numPr>
          <w:ilvl w:val="0"/>
          <w:numId w:val="16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每 5 年累计不少于 6 个月的企业实践经历（如在合作企业财务部门参与项目）；</w:t>
      </w:r>
    </w:p>
    <w:p>
      <w:pPr>
        <w:pStyle w:val="31"/>
        <w:numPr>
          <w:ilvl w:val="0"/>
          <w:numId w:val="16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每年发表 1 篇以上财务会计或职业教育相关论文，或参与 1 项校级及以上教学改革项目。</w:t>
      </w:r>
    </w:p>
    <w:p>
      <w:pPr>
        <w:pStyle w:val="2"/>
      </w:pPr>
      <w:bookmarkStart w:id="48" w:name="_Toc19122"/>
      <w:r>
        <w:t>十、其它说明</w:t>
      </w:r>
      <w:bookmarkEnd w:id="48"/>
    </w:p>
    <w:p>
      <w:pPr>
        <w:pStyle w:val="31"/>
        <w:numPr>
          <w:ilvl w:val="0"/>
          <w:numId w:val="17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课程衔接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前置课程：需完成《会计基础》《经济法基础》《统计学基础》学习，确保学生具备会计基本理论、法规常识及数据处理基础；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后续课程：为《财务大数据分析》《企业内部控制》《智能审计》等课程提供账务处理、报表编制、业财融合等能力支撑，建议在后续课程中进一步深化本课程所学技能（如将本课程的现金流数据用于《财务大数据分析》的预测模型）。</w:t>
      </w:r>
    </w:p>
    <w:p>
      <w:pPr>
        <w:pStyle w:val="31"/>
        <w:numPr>
          <w:ilvl w:val="0"/>
          <w:numId w:val="18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弹性调整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若《企业会计准则》《税法》等法规更新，需在 1 个月内调整课程相关内容（如个税政策变化后，更新 “职工薪酬核算” 模块的个税计算逻辑）；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若智能财税工具（如用友 BIP）推出重大功能更新，需同步更新实训任务与操作指南，确保教学内容与行业实践同步。</w:t>
      </w:r>
    </w:p>
    <w:p>
      <w:pPr>
        <w:pStyle w:val="31"/>
        <w:numPr>
          <w:ilvl w:val="0"/>
          <w:numId w:val="1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>特殊说明</w:t>
      </w:r>
      <w:r>
        <w:rPr>
          <w:rFonts w:hint="eastAsia" w:ascii="仿宋_GB2312" w:hAnsi="仿宋_GB2312" w:eastAsia="仿宋_GB2312" w:cs="仿宋_GB2312"/>
          <w:sz w:val="28"/>
          <w:szCs w:val="28"/>
        </w:rPr>
        <w:t>：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本课程实践学时占比 62.5%（40/64），符合高职教育 “实践为主” 的要求；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课程评价体系中 “附加评价” 鼓励学生考取职业证书、参与竞赛，呼应学校 “1+X” 证书制度试点要求；</w:t>
      </w:r>
    </w:p>
    <w:p>
      <w:pPr>
        <w:pStyle w:val="31"/>
        <w:numPr>
          <w:ilvl w:val="1"/>
          <w:numId w:val="9"/>
        </w:num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课程思政设计均结合会计职业特点，避免生硬嫁接，符合学校观测要求中 “思政元素有机融入” 的标准。</w:t>
      </w:r>
    </w:p>
    <w:p>
      <w:pPr>
        <w:ind w:firstLine="560"/>
        <w:rPr>
          <w:rFonts w:hint="eastAsia" w:ascii="仿宋_GB2312" w:hAnsi="仿宋_GB2312" w:eastAsia="仿宋_GB2312" w:cs="仿宋_GB2312"/>
          <w:kern w:val="0"/>
          <w:sz w:val="28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288" w:hanging="288"/>
      </w:pPr>
      <w:rPr>
        <w:rFonts w:hint="default" w:ascii="仿宋_GB2312" w:hAnsi="仿宋_GB2312" w:eastAsia="仿宋_GB2312" w:cs="仿宋_GB2312"/>
        <w:color w:val="000000" w:themeColor="text1"/>
        <w:sz w:val="28"/>
        <w:szCs w:val="28"/>
        <w14:textFill>
          <w14:solidFill>
            <w14:schemeClr w14:val="tx1"/>
          </w14:solidFill>
        </w14:textFill>
      </w:rPr>
    </w:lvl>
    <w:lvl w:ilvl="1" w:tentative="0">
      <w:start w:val="1"/>
      <w:numFmt w:val="lowerLetter"/>
      <w:lvlText w:val="%2."/>
      <w:lvlJc w:val="left"/>
      <w:pPr>
        <w:ind w:left="720" w:hanging="288"/>
      </w:pPr>
      <w:rPr>
        <w:color w:val="3370FF"/>
        <w:sz w:val="22"/>
        <w:szCs w:val="22"/>
      </w:rPr>
    </w:lvl>
    <w:lvl w:ilvl="2" w:tentative="0">
      <w:start w:val="1"/>
      <w:numFmt w:val="lowerRoman"/>
      <w:lvlText w:val="%3."/>
      <w:lvlJc w:val="left"/>
      <w:pPr>
        <w:ind w:left="1152" w:hanging="288"/>
      </w:pPr>
      <w:rPr>
        <w:color w:val="3370FF"/>
        <w:sz w:val="22"/>
        <w:szCs w:val="22"/>
      </w:rPr>
    </w:lvl>
    <w:lvl w:ilvl="3" w:tentative="0">
      <w:start w:val="1"/>
      <w:numFmt w:val="decimal"/>
      <w:lvlText w:val="%4."/>
      <w:lvlJc w:val="left"/>
      <w:pPr>
        <w:ind w:left="1583" w:hanging="288"/>
      </w:pPr>
      <w:rPr>
        <w:color w:val="3370FF"/>
        <w:sz w:val="22"/>
        <w:szCs w:val="22"/>
      </w:rPr>
    </w:lvl>
    <w:lvl w:ilvl="4" w:tentative="0">
      <w:start w:val="1"/>
      <w:numFmt w:val="lowerLetter"/>
      <w:lvlText w:val="%5."/>
      <w:lvlJc w:val="left"/>
      <w:pPr>
        <w:ind w:left="2015" w:hanging="288"/>
      </w:pPr>
      <w:rPr>
        <w:color w:val="3370FF"/>
        <w:sz w:val="22"/>
        <w:szCs w:val="22"/>
      </w:rPr>
    </w:lvl>
    <w:lvl w:ilvl="5" w:tentative="0">
      <w:start w:val="1"/>
      <w:numFmt w:val="lowerRoman"/>
      <w:lvlText w:val="%6."/>
      <w:lvlJc w:val="left"/>
      <w:pPr>
        <w:ind w:left="2448" w:hanging="288"/>
      </w:pPr>
      <w:rPr>
        <w:color w:val="3370FF"/>
        <w:sz w:val="22"/>
        <w:szCs w:val="22"/>
      </w:rPr>
    </w:lvl>
    <w:lvl w:ilvl="6" w:tentative="0">
      <w:start w:val="1"/>
      <w:numFmt w:val="decimal"/>
      <w:lvlText w:val="%7."/>
      <w:lvlJc w:val="left"/>
      <w:pPr>
        <w:ind w:left="2879" w:hanging="288"/>
      </w:pPr>
      <w:rPr>
        <w:color w:val="3370FF"/>
        <w:sz w:val="22"/>
        <w:szCs w:val="22"/>
      </w:rPr>
    </w:lvl>
    <w:lvl w:ilvl="7" w:tentative="0">
      <w:start w:val="1"/>
      <w:numFmt w:val="lowerLetter"/>
      <w:lvlText w:val="%8."/>
      <w:lvlJc w:val="left"/>
      <w:pPr>
        <w:ind w:left="3312" w:hanging="288"/>
      </w:pPr>
      <w:rPr>
        <w:color w:val="3370FF"/>
        <w:sz w:val="22"/>
        <w:szCs w:val="22"/>
      </w:rPr>
    </w:lvl>
    <w:lvl w:ilvl="8" w:tentative="0">
      <w:start w:val="1"/>
      <w:numFmt w:val="lowerRoman"/>
      <w:lvlText w:val="%9."/>
      <w:lvlJc w:val="left"/>
      <w:pPr>
        <w:ind w:left="3744" w:hanging="288"/>
      </w:pPr>
      <w:rPr>
        <w:color w:val="3370FF"/>
        <w:sz w:val="22"/>
        <w:szCs w:val="22"/>
      </w:rPr>
    </w:lvl>
  </w:abstractNum>
  <w:abstractNum w:abstractNumId="2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2183CF9"/>
    <w:multiLevelType w:val="multilevel"/>
    <w:tmpl w:val="72183CF9"/>
    <w:lvl w:ilvl="0" w:tentative="0">
      <w:start w:val="1"/>
      <w:numFmt w:val="bullet"/>
      <w:lvlText w:val="•"/>
      <w:lvlJc w:val="left"/>
      <w:pPr>
        <w:ind w:left="288" w:hanging="288"/>
      </w:pPr>
      <w:rPr>
        <w:color w:val="3370FF"/>
        <w:sz w:val="22"/>
        <w:szCs w:val="22"/>
      </w:rPr>
    </w:lvl>
    <w:lvl w:ilvl="1" w:tentative="0">
      <w:start w:val="1"/>
      <w:numFmt w:val="bullet"/>
      <w:lvlText w:val="◦"/>
      <w:lvlJc w:val="left"/>
      <w:pPr>
        <w:ind w:left="720" w:hanging="288"/>
      </w:pPr>
      <w:rPr>
        <w:rFonts w:hint="default" w:ascii="仿宋_GB2312" w:hAnsi="仿宋_GB2312" w:eastAsia="仿宋_GB2312" w:cs="仿宋_GB2312"/>
        <w:color w:val="auto"/>
        <w:sz w:val="22"/>
        <w:szCs w:val="22"/>
      </w:rPr>
    </w:lvl>
    <w:lvl w:ilvl="2" w:tentative="0">
      <w:start w:val="1"/>
      <w:numFmt w:val="bullet"/>
      <w:lvlText w:val="▪"/>
      <w:lvlJc w:val="left"/>
      <w:pPr>
        <w:ind w:left="1152" w:hanging="288"/>
      </w:pPr>
      <w:rPr>
        <w:color w:val="3370FF"/>
        <w:sz w:val="22"/>
        <w:szCs w:val="22"/>
      </w:rPr>
    </w:lvl>
    <w:lvl w:ilvl="3" w:tentative="0">
      <w:start w:val="1"/>
      <w:numFmt w:val="bullet"/>
      <w:lvlText w:val="•"/>
      <w:lvlJc w:val="left"/>
      <w:pPr>
        <w:ind w:left="1583" w:hanging="288"/>
      </w:pPr>
      <w:rPr>
        <w:color w:val="3370FF"/>
        <w:sz w:val="22"/>
        <w:szCs w:val="22"/>
      </w:rPr>
    </w:lvl>
    <w:lvl w:ilvl="4" w:tentative="0">
      <w:start w:val="1"/>
      <w:numFmt w:val="bullet"/>
      <w:lvlText w:val="◦"/>
      <w:lvlJc w:val="left"/>
      <w:pPr>
        <w:ind w:left="2015" w:hanging="288"/>
      </w:pPr>
      <w:rPr>
        <w:color w:val="3370FF"/>
        <w:sz w:val="22"/>
        <w:szCs w:val="22"/>
      </w:rPr>
    </w:lvl>
    <w:lvl w:ilvl="5" w:tentative="0">
      <w:start w:val="1"/>
      <w:numFmt w:val="bullet"/>
      <w:lvlText w:val="▪"/>
      <w:lvlJc w:val="left"/>
      <w:pPr>
        <w:ind w:left="2448" w:hanging="288"/>
      </w:pPr>
      <w:rPr>
        <w:color w:val="3370FF"/>
        <w:sz w:val="22"/>
        <w:szCs w:val="22"/>
      </w:rPr>
    </w:lvl>
    <w:lvl w:ilvl="6" w:tentative="0">
      <w:start w:val="1"/>
      <w:numFmt w:val="bullet"/>
      <w:lvlText w:val="•"/>
      <w:lvlJc w:val="left"/>
      <w:pPr>
        <w:ind w:left="2879" w:hanging="288"/>
      </w:pPr>
      <w:rPr>
        <w:color w:val="3370FF"/>
        <w:sz w:val="22"/>
        <w:szCs w:val="22"/>
      </w:rPr>
    </w:lvl>
    <w:lvl w:ilvl="7" w:tentative="0">
      <w:start w:val="1"/>
      <w:numFmt w:val="bullet"/>
      <w:lvlText w:val="◦"/>
      <w:lvlJc w:val="left"/>
      <w:pPr>
        <w:ind w:left="3312" w:hanging="288"/>
      </w:pPr>
      <w:rPr>
        <w:color w:val="3370FF"/>
        <w:sz w:val="22"/>
        <w:szCs w:val="22"/>
      </w:rPr>
    </w:lvl>
    <w:lvl w:ilvl="8" w:tentative="0">
      <w:start w:val="1"/>
      <w:numFmt w:val="bullet"/>
      <w:lvlText w:val="▪"/>
      <w:lvlJc w:val="left"/>
      <w:pPr>
        <w:ind w:left="3744" w:hanging="288"/>
      </w:pPr>
      <w:rPr>
        <w:color w:val="3370FF"/>
        <w:sz w:val="22"/>
        <w:szCs w:val="22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 w:numId="12">
    <w:abstractNumId w:val="1"/>
    <w:lvlOverride w:ilvl="0">
      <w:startOverride w:val="1"/>
    </w:lvlOverride>
  </w:num>
  <w:num w:numId="13">
    <w:abstractNumId w:val="1"/>
    <w:lvlOverride w:ilvl="0">
      <w:startOverride w:val="1"/>
    </w:lvlOverride>
  </w:num>
  <w:num w:numId="14">
    <w:abstractNumId w:val="1"/>
    <w:lvlOverride w:ilvl="0">
      <w:startOverride w:val="1"/>
    </w:lvlOverride>
  </w:num>
  <w:num w:numId="15">
    <w:abstractNumId w:val="1"/>
    <w:lvlOverride w:ilvl="0">
      <w:startOverride w:val="1"/>
    </w:lvlOverride>
  </w:num>
  <w:num w:numId="16">
    <w:abstractNumId w:val="1"/>
    <w:lvlOverride w:ilvl="0">
      <w:startOverride w:val="1"/>
    </w:lvlOverride>
  </w:num>
  <w:num w:numId="17">
    <w:abstractNumId w:val="1"/>
    <w:lvlOverride w:ilvl="0">
      <w:startOverride w:val="1"/>
    </w:lvlOverride>
  </w:num>
  <w:num w:numId="18">
    <w:abstractNumId w:val="1"/>
    <w:lvlOverride w:ilvl="0">
      <w:startOverride w:val="1"/>
    </w:lvlOverride>
  </w:num>
  <w:num w:numId="1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1D07389"/>
    <w:rsid w:val="03580109"/>
    <w:rsid w:val="04F36FCB"/>
    <w:rsid w:val="06264DD4"/>
    <w:rsid w:val="071F59E5"/>
    <w:rsid w:val="08A53B3F"/>
    <w:rsid w:val="0A141797"/>
    <w:rsid w:val="0B4B3EED"/>
    <w:rsid w:val="10727C56"/>
    <w:rsid w:val="11867876"/>
    <w:rsid w:val="120E02AD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8C96438"/>
    <w:rsid w:val="199E7715"/>
    <w:rsid w:val="1BCA4827"/>
    <w:rsid w:val="1E0C36DB"/>
    <w:rsid w:val="1E845471"/>
    <w:rsid w:val="1F034F6D"/>
    <w:rsid w:val="2392755E"/>
    <w:rsid w:val="26D406C1"/>
    <w:rsid w:val="272F7AD6"/>
    <w:rsid w:val="273677B9"/>
    <w:rsid w:val="29790743"/>
    <w:rsid w:val="2CA37B48"/>
    <w:rsid w:val="2D276405"/>
    <w:rsid w:val="2E4F0E88"/>
    <w:rsid w:val="2E7B7787"/>
    <w:rsid w:val="2F6A77B8"/>
    <w:rsid w:val="30611F0A"/>
    <w:rsid w:val="317D4E81"/>
    <w:rsid w:val="33670DA7"/>
    <w:rsid w:val="33B84FCF"/>
    <w:rsid w:val="33BD324E"/>
    <w:rsid w:val="34710AAF"/>
    <w:rsid w:val="351D0231"/>
    <w:rsid w:val="3A9340B4"/>
    <w:rsid w:val="3B8678B6"/>
    <w:rsid w:val="3C4832E2"/>
    <w:rsid w:val="3DD96F86"/>
    <w:rsid w:val="3EBC5DDD"/>
    <w:rsid w:val="3FF42CA8"/>
    <w:rsid w:val="44883AC1"/>
    <w:rsid w:val="44890655"/>
    <w:rsid w:val="47DB4379"/>
    <w:rsid w:val="489268FC"/>
    <w:rsid w:val="49564CEF"/>
    <w:rsid w:val="4ABE3763"/>
    <w:rsid w:val="4CCD5FB7"/>
    <w:rsid w:val="4D3010B2"/>
    <w:rsid w:val="4E053309"/>
    <w:rsid w:val="5031169F"/>
    <w:rsid w:val="50A45C73"/>
    <w:rsid w:val="53596C0B"/>
    <w:rsid w:val="54A518C5"/>
    <w:rsid w:val="54D95840"/>
    <w:rsid w:val="56013F35"/>
    <w:rsid w:val="562A3B61"/>
    <w:rsid w:val="56A33BB2"/>
    <w:rsid w:val="575F1A59"/>
    <w:rsid w:val="59B04FCC"/>
    <w:rsid w:val="5A502305"/>
    <w:rsid w:val="5A63129F"/>
    <w:rsid w:val="5ADE57B1"/>
    <w:rsid w:val="5AFD5A55"/>
    <w:rsid w:val="5BCF6EC1"/>
    <w:rsid w:val="5D886403"/>
    <w:rsid w:val="5DE81CA0"/>
    <w:rsid w:val="5E8A4E8C"/>
    <w:rsid w:val="5ECE0C99"/>
    <w:rsid w:val="617D2B01"/>
    <w:rsid w:val="617E5314"/>
    <w:rsid w:val="685B2491"/>
    <w:rsid w:val="694C5B6A"/>
    <w:rsid w:val="6C932E12"/>
    <w:rsid w:val="6D695A44"/>
    <w:rsid w:val="6E8A7606"/>
    <w:rsid w:val="6EE216A4"/>
    <w:rsid w:val="70D22201"/>
    <w:rsid w:val="76203C5A"/>
    <w:rsid w:val="76691AD0"/>
    <w:rsid w:val="76AA6A38"/>
    <w:rsid w:val="79363CA6"/>
    <w:rsid w:val="7AA3575A"/>
    <w:rsid w:val="7AF12A3E"/>
    <w:rsid w:val="7BB35BD5"/>
    <w:rsid w:val="7C482314"/>
    <w:rsid w:val="7D7E6007"/>
    <w:rsid w:val="7F082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0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7"/>
    <w:qFormat/>
    <w:uiPriority w:val="0"/>
    <w:rPr>
      <w:sz w:val="18"/>
      <w:szCs w:val="18"/>
    </w:rPr>
  </w:style>
  <w:style w:type="paragraph" w:styleId="8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Hyperlink"/>
    <w:unhideWhenUsed/>
    <w:qFormat/>
    <w:uiPriority w:val="99"/>
    <w:rPr>
      <w:color w:val="0000FF"/>
      <w:u w:val="single"/>
    </w:rPr>
  </w:style>
  <w:style w:type="character" w:customStyle="1" w:styleId="17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19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0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1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2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5">
    <w:name w:val="style41"/>
    <w:basedOn w:val="15"/>
    <w:qFormat/>
    <w:uiPriority w:val="0"/>
    <w:rPr>
      <w:sz w:val="18"/>
    </w:rPr>
  </w:style>
  <w:style w:type="paragraph" w:customStyle="1" w:styleId="26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29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0">
    <w:name w:val="List Paragraph"/>
    <w:basedOn w:val="1"/>
    <w:qFormat/>
    <w:uiPriority w:val="99"/>
    <w:pPr>
      <w:ind w:firstLine="420"/>
    </w:pPr>
  </w:style>
  <w:style w:type="paragraph" w:customStyle="1" w:styleId="31">
    <w:name w:val="_Style 13"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1103</Words>
  <Characters>1845</Characters>
  <Lines>15</Lines>
  <Paragraphs>5</Paragraphs>
  <TotalTime>0</TotalTime>
  <ScaleCrop>false</ScaleCrop>
  <LinksUpToDate>false</LinksUpToDate>
  <CharactersWithSpaces>2943</CharactersWithSpaces>
  <Application>WPS Office_11.8.6.11829_F1E327BC-269C-435d-A152-05C5408002CA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C。</cp:lastModifiedBy>
  <cp:lastPrinted>2024-07-02T05:20:00Z</cp:lastPrinted>
  <dcterms:modified xsi:type="dcterms:W3CDTF">2025-09-08T00:55:58Z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2052-11.8.6.11829</vt:lpwstr>
  </property>
  <property fmtid="{D5CDD505-2E9C-101B-9397-08002B2CF9AE}" pid="3" name="ICV">
    <vt:lpwstr>19A73F006F5347BD853DC9618676629C</vt:lpwstr>
  </property>
</Properties>
</file>