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677F0F">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29EB539D">
      <w:pPr>
        <w:spacing w:line="240" w:lineRule="auto"/>
        <w:ind w:firstLine="0" w:firstLineChars="0"/>
        <w:rPr>
          <w:rFonts w:ascii="隶书" w:eastAsia="隶书"/>
          <w:spacing w:val="-60"/>
          <w:sz w:val="32"/>
          <w:szCs w:val="32"/>
        </w:rPr>
      </w:pPr>
    </w:p>
    <w:p w14:paraId="62AF6A09">
      <w:pPr>
        <w:spacing w:line="240" w:lineRule="auto"/>
        <w:ind w:firstLine="400"/>
        <w:rPr>
          <w:rFonts w:ascii="隶书" w:eastAsia="隶书"/>
          <w:spacing w:val="-60"/>
          <w:sz w:val="32"/>
          <w:szCs w:val="32"/>
        </w:rPr>
      </w:pPr>
    </w:p>
    <w:p w14:paraId="760377FF">
      <w:pPr>
        <w:spacing w:line="240" w:lineRule="auto"/>
        <w:ind w:firstLine="0" w:firstLineChars="0"/>
        <w:jc w:val="center"/>
        <w:rPr>
          <w:rFonts w:ascii="黑体" w:hAnsi="楷体" w:eastAsia="黑体"/>
          <w:b/>
          <w:sz w:val="144"/>
          <w:szCs w:val="144"/>
        </w:rPr>
      </w:pPr>
      <w:r>
        <w:rPr>
          <w:rFonts w:hint="eastAsia" w:ascii="黑体" w:hAnsi="楷体" w:eastAsia="黑体"/>
          <w:b/>
          <w:sz w:val="144"/>
          <w:szCs w:val="144"/>
        </w:rPr>
        <w:t>“企业内部控制   ”</w:t>
      </w:r>
    </w:p>
    <w:p w14:paraId="6F504A21">
      <w:pPr>
        <w:spacing w:line="240" w:lineRule="auto"/>
        <w:ind w:firstLine="0" w:firstLineChars="0"/>
        <w:jc w:val="center"/>
        <w:rPr>
          <w:rFonts w:ascii="黑体" w:hAnsi="楷体" w:eastAsia="黑体"/>
          <w:b/>
          <w:sz w:val="72"/>
          <w:szCs w:val="72"/>
        </w:rPr>
      </w:pPr>
    </w:p>
    <w:p w14:paraId="6FFD9756">
      <w:pPr>
        <w:spacing w:line="240" w:lineRule="auto"/>
        <w:ind w:firstLine="0" w:firstLineChars="0"/>
        <w:jc w:val="center"/>
      </w:pPr>
      <w:r>
        <w:rPr>
          <w:rFonts w:hint="eastAsia" w:ascii="黑体" w:hAnsi="楷体" w:eastAsia="黑体"/>
          <w:b/>
          <w:sz w:val="72"/>
          <w:szCs w:val="72"/>
        </w:rPr>
        <w:t>课程标准</w:t>
      </w:r>
    </w:p>
    <w:tbl>
      <w:tblPr>
        <w:tblStyle w:val="13"/>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4878C82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0D3F13BA">
            <w:pPr>
              <w:keepNext w:val="0"/>
              <w:keepLines w:val="0"/>
              <w:widowControl/>
              <w:suppressLineNumbers w:val="0"/>
              <w:adjustRightInd w:val="0"/>
              <w:snapToGrid w:val="0"/>
              <w:spacing w:before="0" w:beforeAutospacing="0" w:after="0" w:afterAutospacing="0"/>
              <w:ind w:left="0" w:right="0" w:firstLine="0" w:firstLineChars="0"/>
              <w:jc w:val="center"/>
              <w:textAlignment w:val="center"/>
              <w:rPr>
                <w:rFonts w:hint="default" w:cs="宋体"/>
                <w:sz w:val="24"/>
                <w:szCs w:val="24"/>
              </w:rPr>
            </w:pPr>
            <w:r>
              <w:rPr>
                <w:rFonts w:hint="eastAsia" w:cs="宋体"/>
                <w:sz w:val="24"/>
                <w:szCs w:val="24"/>
              </w:rPr>
              <w:t>课程负责人</w:t>
            </w:r>
          </w:p>
          <w:p w14:paraId="28CBE902">
            <w:pPr>
              <w:keepNext w:val="0"/>
              <w:keepLines w:val="0"/>
              <w:widowControl/>
              <w:suppressLineNumbers w:val="0"/>
              <w:adjustRightInd w:val="0"/>
              <w:snapToGrid w:val="0"/>
              <w:spacing w:before="0" w:beforeAutospacing="0" w:after="0" w:afterAutospacing="0"/>
              <w:ind w:left="0" w:right="0" w:firstLine="0" w:firstLineChars="0"/>
              <w:jc w:val="center"/>
              <w:textAlignment w:val="center"/>
              <w:rPr>
                <w:rFonts w:hint="default"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14:paraId="02118FFF">
            <w:pPr>
              <w:keepNext w:val="0"/>
              <w:keepLines w:val="0"/>
              <w:widowControl/>
              <w:suppressLineNumbers w:val="0"/>
              <w:adjustRightInd w:val="0"/>
              <w:snapToGrid w:val="0"/>
              <w:spacing w:before="0" w:beforeAutospacing="0" w:after="0" w:afterAutospacing="0"/>
              <w:ind w:left="0" w:right="0" w:firstLine="720" w:firstLineChars="300"/>
              <w:textAlignment w:val="center"/>
              <w:rPr>
                <w:rFonts w:hint="default"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7CC500E6">
            <w:pPr>
              <w:keepNext w:val="0"/>
              <w:keepLines w:val="0"/>
              <w:widowControl/>
              <w:suppressLineNumbers w:val="0"/>
              <w:adjustRightInd w:val="0"/>
              <w:snapToGrid w:val="0"/>
              <w:spacing w:before="0" w:beforeAutospacing="0" w:after="0" w:afterAutospacing="0"/>
              <w:ind w:left="0" w:right="0" w:firstLine="0" w:firstLineChars="0"/>
              <w:jc w:val="center"/>
              <w:textAlignment w:val="center"/>
              <w:rPr>
                <w:rFonts w:hint="default" w:cs="宋体"/>
                <w:sz w:val="24"/>
                <w:szCs w:val="24"/>
              </w:rPr>
            </w:pPr>
            <w:r>
              <w:rPr>
                <w:rFonts w:hint="eastAsia" w:cs="宋体"/>
                <w:sz w:val="24"/>
                <w:szCs w:val="24"/>
              </w:rPr>
              <w:t>教研组组长</w:t>
            </w:r>
          </w:p>
          <w:p w14:paraId="3483DFD5">
            <w:pPr>
              <w:keepNext w:val="0"/>
              <w:keepLines w:val="0"/>
              <w:widowControl/>
              <w:suppressLineNumbers w:val="0"/>
              <w:adjustRightInd w:val="0"/>
              <w:snapToGrid w:val="0"/>
              <w:spacing w:before="0" w:beforeAutospacing="0" w:after="0" w:afterAutospacing="0"/>
              <w:ind w:left="0" w:right="0" w:firstLine="0" w:firstLineChars="0"/>
              <w:jc w:val="center"/>
              <w:textAlignment w:val="center"/>
              <w:rPr>
                <w:rFonts w:hint="default"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14:paraId="7717D995">
            <w:pPr>
              <w:keepNext w:val="0"/>
              <w:keepLines w:val="0"/>
              <w:widowControl/>
              <w:suppressLineNumbers w:val="0"/>
              <w:adjustRightInd w:val="0"/>
              <w:snapToGrid w:val="0"/>
              <w:spacing w:before="0" w:beforeAutospacing="0" w:after="0" w:afterAutospacing="0"/>
              <w:ind w:left="0" w:right="0" w:firstLine="960" w:firstLineChars="400"/>
              <w:textAlignment w:val="center"/>
              <w:rPr>
                <w:rFonts w:hint="default" w:eastAsia="宋体"/>
                <w:sz w:val="24"/>
                <w:szCs w:val="24"/>
              </w:rPr>
            </w:pPr>
            <w:r>
              <w:rPr>
                <w:rFonts w:hint="eastAsia" w:eastAsia="宋体"/>
                <w:sz w:val="24"/>
                <w:szCs w:val="24"/>
              </w:rPr>
              <w:t xml:space="preserve"> </w:t>
            </w:r>
          </w:p>
        </w:tc>
      </w:tr>
      <w:tr w14:paraId="4401024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5A411497">
            <w:pPr>
              <w:keepNext w:val="0"/>
              <w:keepLines w:val="0"/>
              <w:widowControl/>
              <w:suppressLineNumbers w:val="0"/>
              <w:adjustRightInd w:val="0"/>
              <w:snapToGrid w:val="0"/>
              <w:spacing w:before="0" w:beforeAutospacing="0" w:after="0" w:afterAutospacing="0"/>
              <w:ind w:left="0" w:right="0" w:firstLine="0" w:firstLineChars="0"/>
              <w:jc w:val="center"/>
              <w:textAlignment w:val="center"/>
              <w:rPr>
                <w:rFonts w:hint="default"/>
                <w:sz w:val="24"/>
                <w:szCs w:val="24"/>
              </w:rPr>
            </w:pPr>
            <w:r>
              <w:rPr>
                <w:rFonts w:hint="eastAsia"/>
                <w:sz w:val="24"/>
                <w:szCs w:val="24"/>
              </w:rPr>
              <w:t>教学单位</w:t>
            </w:r>
          </w:p>
          <w:p w14:paraId="670B173B">
            <w:pPr>
              <w:keepNext w:val="0"/>
              <w:keepLines w:val="0"/>
              <w:widowControl/>
              <w:suppressLineNumbers w:val="0"/>
              <w:adjustRightInd w:val="0"/>
              <w:snapToGrid w:val="0"/>
              <w:spacing w:before="0" w:beforeAutospacing="0" w:after="0" w:afterAutospacing="0"/>
              <w:ind w:left="0" w:right="0" w:firstLine="0" w:firstLineChars="0"/>
              <w:jc w:val="center"/>
              <w:textAlignment w:val="center"/>
              <w:rPr>
                <w:rFonts w:hint="default"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746C7293">
            <w:pPr>
              <w:keepNext w:val="0"/>
              <w:keepLines w:val="0"/>
              <w:widowControl/>
              <w:suppressLineNumbers w:val="0"/>
              <w:adjustRightInd w:val="0"/>
              <w:snapToGrid w:val="0"/>
              <w:spacing w:before="0" w:beforeAutospacing="0" w:after="0" w:afterAutospacing="0"/>
              <w:ind w:left="0" w:right="0" w:firstLine="720" w:firstLineChars="300"/>
              <w:textAlignment w:val="center"/>
              <w:rPr>
                <w:rFonts w:hint="default"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266F8718">
            <w:pPr>
              <w:keepNext w:val="0"/>
              <w:keepLines w:val="0"/>
              <w:widowControl/>
              <w:suppressLineNumbers w:val="0"/>
              <w:adjustRightInd w:val="0"/>
              <w:snapToGrid w:val="0"/>
              <w:spacing w:before="0" w:beforeAutospacing="0" w:after="0" w:afterAutospacing="0"/>
              <w:ind w:left="0" w:right="0" w:firstLine="0" w:firstLineChars="0"/>
              <w:jc w:val="center"/>
              <w:textAlignment w:val="center"/>
              <w:rPr>
                <w:rFonts w:hint="default" w:cs="宋体"/>
                <w:sz w:val="24"/>
                <w:szCs w:val="24"/>
              </w:rPr>
            </w:pPr>
            <w:r>
              <w:rPr>
                <w:rFonts w:hint="eastAsia" w:cs="宋体"/>
                <w:sz w:val="24"/>
                <w:szCs w:val="24"/>
              </w:rPr>
              <w:t>教学管理部</w:t>
            </w:r>
          </w:p>
          <w:p w14:paraId="150B0578">
            <w:pPr>
              <w:keepNext w:val="0"/>
              <w:keepLines w:val="0"/>
              <w:widowControl/>
              <w:suppressLineNumbers w:val="0"/>
              <w:adjustRightInd w:val="0"/>
              <w:snapToGrid w:val="0"/>
              <w:spacing w:before="0" w:beforeAutospacing="0" w:after="0" w:afterAutospacing="0"/>
              <w:ind w:left="0" w:right="0" w:firstLine="0" w:firstLineChars="0"/>
              <w:jc w:val="center"/>
              <w:textAlignment w:val="center"/>
              <w:rPr>
                <w:rFonts w:hint="default"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14:paraId="4DB23260">
            <w:pPr>
              <w:keepNext w:val="0"/>
              <w:keepLines w:val="0"/>
              <w:widowControl/>
              <w:suppressLineNumbers w:val="0"/>
              <w:adjustRightInd w:val="0"/>
              <w:snapToGrid w:val="0"/>
              <w:spacing w:before="0" w:beforeAutospacing="0" w:after="0" w:afterAutospacing="0"/>
              <w:ind w:left="0" w:right="0" w:firstLine="960" w:firstLineChars="400"/>
              <w:textAlignment w:val="center"/>
              <w:rPr>
                <w:rFonts w:hint="default" w:eastAsia="宋体"/>
                <w:sz w:val="24"/>
                <w:szCs w:val="24"/>
              </w:rPr>
            </w:pPr>
            <w:r>
              <w:rPr>
                <w:rFonts w:hint="eastAsia" w:eastAsia="宋体"/>
                <w:sz w:val="24"/>
                <w:szCs w:val="24"/>
              </w:rPr>
              <w:t xml:space="preserve"> </w:t>
            </w:r>
          </w:p>
        </w:tc>
      </w:tr>
    </w:tbl>
    <w:p w14:paraId="0DDD4158">
      <w:pPr>
        <w:ind w:firstLine="0" w:firstLineChars="0"/>
      </w:pPr>
    </w:p>
    <w:p w14:paraId="75A8D6EC">
      <w:pPr>
        <w:snapToGrid w:val="0"/>
        <w:spacing w:line="360" w:lineRule="auto"/>
        <w:ind w:firstLine="72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rPr>
        <w:t>202</w:t>
      </w:r>
      <w:r>
        <w:rPr>
          <w:rFonts w:hint="eastAsia"/>
          <w:kern w:val="36"/>
          <w:sz w:val="36"/>
          <w:szCs w:val="36"/>
        </w:rPr>
        <w:t>4</w:t>
      </w:r>
      <w:r>
        <w:rPr>
          <w:b/>
          <w:bCs/>
          <w:kern w:val="36"/>
          <w:sz w:val="36"/>
          <w:szCs w:val="36"/>
        </w:rPr>
        <w:t>年</w:t>
      </w:r>
      <w:r>
        <w:rPr>
          <w:rFonts w:hint="eastAsia"/>
          <w:b/>
          <w:bCs/>
          <w:kern w:val="36"/>
          <w:sz w:val="36"/>
          <w:szCs w:val="36"/>
        </w:rPr>
        <w:t>X</w:t>
      </w:r>
      <w:r>
        <w:rPr>
          <w:b/>
          <w:bCs/>
          <w:kern w:val="36"/>
          <w:sz w:val="36"/>
          <w:szCs w:val="36"/>
        </w:rPr>
        <w:t>月</w:t>
      </w:r>
    </w:p>
    <w:p w14:paraId="17DE2CF4">
      <w:pPr>
        <w:snapToGrid w:val="0"/>
        <w:spacing w:line="360" w:lineRule="auto"/>
        <w:ind w:firstLine="0" w:firstLineChars="0"/>
        <w:rPr>
          <w:b/>
          <w:bCs/>
          <w:kern w:val="36"/>
          <w:sz w:val="36"/>
          <w:szCs w:val="36"/>
        </w:rPr>
      </w:pP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14:paraId="514818F0">
          <w:pPr>
            <w:spacing w:line="240" w:lineRule="auto"/>
            <w:ind w:firstLine="0" w:firstLineChars="0"/>
            <w:jc w:val="center"/>
            <w:rPr>
              <w:rFonts w:ascii="宋体" w:hAnsi="宋体" w:eastAsia="宋体"/>
              <w:sz w:val="21"/>
            </w:rPr>
          </w:pPr>
        </w:p>
        <w:p w14:paraId="657F8D8F">
          <w:pPr>
            <w:spacing w:line="240" w:lineRule="auto"/>
            <w:ind w:firstLine="0" w:firstLineChars="0"/>
            <w:jc w:val="center"/>
            <w:rPr>
              <w:rFonts w:ascii="黑体" w:hAnsi="黑体" w:eastAsia="黑体" w:cs="黑体"/>
              <w:sz w:val="32"/>
              <w:szCs w:val="32"/>
            </w:rPr>
          </w:pPr>
          <w:r>
            <w:rPr>
              <w:rFonts w:hint="eastAsia" w:ascii="黑体" w:hAnsi="黑体" w:eastAsia="黑体" w:cs="黑体"/>
              <w:sz w:val="32"/>
              <w:szCs w:val="32"/>
            </w:rPr>
            <w:t>目  录</w:t>
          </w:r>
        </w:p>
        <w:p w14:paraId="0F507F95">
          <w:pPr>
            <w:pStyle w:val="10"/>
            <w:tabs>
              <w:tab w:val="right" w:leader="dot" w:pos="8306"/>
            </w:tabs>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rPr>
              <w:rFonts w:hint="eastAsia" w:ascii="宋体" w:hAnsi="宋体" w:eastAsia="宋体" w:cs="宋体"/>
              <w:kern w:val="36"/>
              <w:szCs w:val="36"/>
            </w:rPr>
            <w:fldChar w:fldCharType="begin"/>
          </w:r>
          <w:r>
            <w:rPr>
              <w:rFonts w:hint="eastAsia" w:ascii="宋体" w:hAnsi="宋体" w:eastAsia="宋体" w:cs="宋体"/>
              <w:kern w:val="36"/>
              <w:szCs w:val="36"/>
            </w:rPr>
            <w:instrText xml:space="preserve"> HYPERLINK \l _Toc1181 </w:instrText>
          </w:r>
          <w:r>
            <w:rPr>
              <w:rFonts w:hint="eastAsia" w:ascii="宋体" w:hAnsi="宋体" w:eastAsia="宋体" w:cs="宋体"/>
              <w:kern w:val="36"/>
              <w:szCs w:val="36"/>
            </w:rPr>
            <w:fldChar w:fldCharType="separate"/>
          </w:r>
          <w:r>
            <w:rPr>
              <w:rFonts w:hint="eastAsia"/>
            </w:rPr>
            <w:t>一、课程基本信息</w:t>
          </w:r>
          <w:r>
            <w:tab/>
          </w:r>
          <w:r>
            <w:fldChar w:fldCharType="begin"/>
          </w:r>
          <w:r>
            <w:instrText xml:space="preserve"> PAGEREF _Toc1181 \h </w:instrText>
          </w:r>
          <w:r>
            <w:fldChar w:fldCharType="separate"/>
          </w:r>
          <w:r>
            <w:t>1</w:t>
          </w:r>
          <w:r>
            <w:fldChar w:fldCharType="end"/>
          </w:r>
          <w:r>
            <w:rPr>
              <w:rFonts w:hint="eastAsia" w:ascii="宋体" w:hAnsi="宋体" w:eastAsia="宋体" w:cs="宋体"/>
              <w:kern w:val="36"/>
              <w:szCs w:val="36"/>
            </w:rPr>
            <w:fldChar w:fldCharType="end"/>
          </w:r>
        </w:p>
        <w:p w14:paraId="4E54DC11">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_Toc15437 </w:instrText>
          </w:r>
          <w:r>
            <w:rPr>
              <w:rFonts w:hint="eastAsia" w:ascii="宋体" w:hAnsi="宋体" w:eastAsia="宋体" w:cs="宋体"/>
              <w:bCs/>
              <w:kern w:val="36"/>
              <w:szCs w:val="36"/>
            </w:rPr>
            <w:fldChar w:fldCharType="separate"/>
          </w:r>
          <w:r>
            <w:rPr>
              <w:rFonts w:hint="eastAsia"/>
            </w:rPr>
            <w:t>二、 课程任务</w:t>
          </w:r>
          <w:r>
            <w:tab/>
          </w:r>
          <w:r>
            <w:fldChar w:fldCharType="begin"/>
          </w:r>
          <w:r>
            <w:instrText xml:space="preserve"> PAGEREF _Toc15437 \h </w:instrText>
          </w:r>
          <w:r>
            <w:fldChar w:fldCharType="separate"/>
          </w:r>
          <w:r>
            <w:t>1</w:t>
          </w:r>
          <w:r>
            <w:fldChar w:fldCharType="end"/>
          </w:r>
          <w:r>
            <w:rPr>
              <w:rFonts w:hint="eastAsia" w:ascii="宋体" w:hAnsi="宋体" w:eastAsia="宋体" w:cs="宋体"/>
              <w:bCs/>
              <w:kern w:val="36"/>
              <w:szCs w:val="36"/>
            </w:rPr>
            <w:fldChar w:fldCharType="end"/>
          </w:r>
        </w:p>
        <w:p w14:paraId="39DD99CD">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_Toc20345 </w:instrText>
          </w:r>
          <w:r>
            <w:rPr>
              <w:rFonts w:hint="eastAsia" w:ascii="宋体" w:hAnsi="宋体" w:eastAsia="宋体" w:cs="宋体"/>
              <w:bCs/>
              <w:kern w:val="36"/>
              <w:szCs w:val="36"/>
            </w:rPr>
            <w:fldChar w:fldCharType="separate"/>
          </w:r>
          <w:r>
            <w:rPr>
              <w:rFonts w:hint="eastAsia"/>
            </w:rPr>
            <w:t>三、课程目标</w:t>
          </w:r>
          <w:r>
            <w:tab/>
          </w:r>
          <w:r>
            <w:fldChar w:fldCharType="begin"/>
          </w:r>
          <w:r>
            <w:instrText xml:space="preserve"> PAGEREF _Toc20345 \h </w:instrText>
          </w:r>
          <w:r>
            <w:fldChar w:fldCharType="separate"/>
          </w:r>
          <w:r>
            <w:t>2</w:t>
          </w:r>
          <w:r>
            <w:fldChar w:fldCharType="end"/>
          </w:r>
          <w:r>
            <w:rPr>
              <w:rFonts w:hint="eastAsia" w:ascii="宋体" w:hAnsi="宋体" w:eastAsia="宋体" w:cs="宋体"/>
              <w:bCs/>
              <w:kern w:val="36"/>
              <w:szCs w:val="36"/>
            </w:rPr>
            <w:fldChar w:fldCharType="end"/>
          </w:r>
        </w:p>
        <w:p w14:paraId="164DA7E4">
          <w:pPr>
            <w:pStyle w:val="12"/>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_Toc17006 </w:instrText>
          </w:r>
          <w:r>
            <w:rPr>
              <w:rFonts w:hint="eastAsia" w:ascii="宋体" w:hAnsi="宋体" w:eastAsia="宋体" w:cs="宋体"/>
              <w:bCs/>
              <w:kern w:val="36"/>
              <w:szCs w:val="36"/>
            </w:rPr>
            <w:fldChar w:fldCharType="separate"/>
          </w:r>
          <w:r>
            <w:rPr>
              <w:rFonts w:hint="eastAsia"/>
            </w:rPr>
            <w:t>（一） 素质目标</w:t>
          </w:r>
          <w:r>
            <w:tab/>
          </w:r>
          <w:r>
            <w:fldChar w:fldCharType="begin"/>
          </w:r>
          <w:r>
            <w:instrText xml:space="preserve"> PAGEREF _Toc17006 \h </w:instrText>
          </w:r>
          <w:r>
            <w:fldChar w:fldCharType="separate"/>
          </w:r>
          <w:r>
            <w:t>2</w:t>
          </w:r>
          <w:r>
            <w:fldChar w:fldCharType="end"/>
          </w:r>
          <w:r>
            <w:rPr>
              <w:rFonts w:hint="eastAsia" w:ascii="宋体" w:hAnsi="宋体" w:eastAsia="宋体" w:cs="宋体"/>
              <w:bCs/>
              <w:kern w:val="36"/>
              <w:szCs w:val="36"/>
            </w:rPr>
            <w:fldChar w:fldCharType="end"/>
          </w:r>
        </w:p>
        <w:p w14:paraId="4E64A656">
          <w:pPr>
            <w:pStyle w:val="12"/>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_Toc4755 </w:instrText>
          </w:r>
          <w:r>
            <w:rPr>
              <w:rFonts w:hint="eastAsia" w:ascii="宋体" w:hAnsi="宋体" w:eastAsia="宋体" w:cs="宋体"/>
              <w:bCs/>
              <w:kern w:val="36"/>
              <w:szCs w:val="36"/>
            </w:rPr>
            <w:fldChar w:fldCharType="separate"/>
          </w:r>
          <w:r>
            <w:rPr>
              <w:rFonts w:hint="eastAsia"/>
            </w:rPr>
            <w:t>（二） 知识目标</w:t>
          </w:r>
          <w:r>
            <w:tab/>
          </w:r>
          <w:r>
            <w:fldChar w:fldCharType="begin"/>
          </w:r>
          <w:r>
            <w:instrText xml:space="preserve"> PAGEREF _Toc4755 \h </w:instrText>
          </w:r>
          <w:r>
            <w:fldChar w:fldCharType="separate"/>
          </w:r>
          <w:r>
            <w:t>2</w:t>
          </w:r>
          <w:r>
            <w:fldChar w:fldCharType="end"/>
          </w:r>
          <w:r>
            <w:rPr>
              <w:rFonts w:hint="eastAsia" w:ascii="宋体" w:hAnsi="宋体" w:eastAsia="宋体" w:cs="宋体"/>
              <w:bCs/>
              <w:kern w:val="36"/>
              <w:szCs w:val="36"/>
            </w:rPr>
            <w:fldChar w:fldCharType="end"/>
          </w:r>
        </w:p>
        <w:p w14:paraId="4DBE847F">
          <w:pPr>
            <w:pStyle w:val="12"/>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_Toc23494 </w:instrText>
          </w:r>
          <w:r>
            <w:rPr>
              <w:rFonts w:hint="eastAsia" w:ascii="宋体" w:hAnsi="宋体" w:eastAsia="宋体" w:cs="宋体"/>
              <w:bCs/>
              <w:kern w:val="36"/>
              <w:szCs w:val="36"/>
            </w:rPr>
            <w:fldChar w:fldCharType="separate"/>
          </w:r>
          <w:r>
            <w:rPr>
              <w:rFonts w:hint="eastAsia"/>
            </w:rPr>
            <w:t>（三） 能力目标</w:t>
          </w:r>
          <w:r>
            <w:tab/>
          </w:r>
          <w:r>
            <w:fldChar w:fldCharType="begin"/>
          </w:r>
          <w:r>
            <w:instrText xml:space="preserve"> PAGEREF _Toc23494 \h </w:instrText>
          </w:r>
          <w:r>
            <w:fldChar w:fldCharType="separate"/>
          </w:r>
          <w:r>
            <w:t>3</w:t>
          </w:r>
          <w:r>
            <w:fldChar w:fldCharType="end"/>
          </w:r>
          <w:r>
            <w:rPr>
              <w:rFonts w:hint="eastAsia" w:ascii="宋体" w:hAnsi="宋体" w:eastAsia="宋体" w:cs="宋体"/>
              <w:bCs/>
              <w:kern w:val="36"/>
              <w:szCs w:val="36"/>
            </w:rPr>
            <w:fldChar w:fldCharType="end"/>
          </w:r>
        </w:p>
        <w:p w14:paraId="1CB88F84">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_Toc30012 </w:instrText>
          </w:r>
          <w:r>
            <w:rPr>
              <w:rFonts w:hint="eastAsia" w:ascii="宋体" w:hAnsi="宋体" w:eastAsia="宋体" w:cs="宋体"/>
              <w:bCs/>
              <w:kern w:val="36"/>
              <w:szCs w:val="36"/>
            </w:rPr>
            <w:fldChar w:fldCharType="separate"/>
          </w:r>
          <w:r>
            <w:rPr>
              <w:rFonts w:hint="eastAsia"/>
            </w:rPr>
            <w:t>四、课程职业能力分析</w:t>
          </w:r>
          <w:r>
            <w:tab/>
          </w:r>
          <w:r>
            <w:fldChar w:fldCharType="begin"/>
          </w:r>
          <w:r>
            <w:instrText xml:space="preserve"> PAGEREF _Toc30012 \h </w:instrText>
          </w:r>
          <w:r>
            <w:fldChar w:fldCharType="separate"/>
          </w:r>
          <w:r>
            <w:t>3</w:t>
          </w:r>
          <w:r>
            <w:fldChar w:fldCharType="end"/>
          </w:r>
          <w:r>
            <w:rPr>
              <w:rFonts w:hint="eastAsia" w:ascii="宋体" w:hAnsi="宋体" w:eastAsia="宋体" w:cs="宋体"/>
              <w:bCs/>
              <w:kern w:val="36"/>
              <w:szCs w:val="36"/>
            </w:rPr>
            <w:fldChar w:fldCharType="end"/>
          </w:r>
        </w:p>
        <w:p w14:paraId="2E32FA89">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_Toc9176 </w:instrText>
          </w:r>
          <w:r>
            <w:rPr>
              <w:rFonts w:hint="eastAsia" w:ascii="宋体" w:hAnsi="宋体" w:eastAsia="宋体" w:cs="宋体"/>
              <w:bCs/>
              <w:kern w:val="36"/>
              <w:szCs w:val="36"/>
            </w:rPr>
            <w:fldChar w:fldCharType="separate"/>
          </w:r>
          <w:r>
            <w:rPr>
              <w:rFonts w:hint="eastAsia"/>
              <w:bCs/>
            </w:rPr>
            <w:t xml:space="preserve">五、 </w:t>
          </w:r>
          <w:r>
            <w:rPr>
              <w:rFonts w:hint="eastAsia"/>
            </w:rPr>
            <w:t>课程设计思路</w:t>
          </w:r>
          <w:r>
            <w:tab/>
          </w:r>
          <w:r>
            <w:fldChar w:fldCharType="begin"/>
          </w:r>
          <w:r>
            <w:instrText xml:space="preserve"> PAGEREF _Toc9176 \h </w:instrText>
          </w:r>
          <w:r>
            <w:fldChar w:fldCharType="separate"/>
          </w:r>
          <w:r>
            <w:t>15</w:t>
          </w:r>
          <w:r>
            <w:fldChar w:fldCharType="end"/>
          </w:r>
          <w:r>
            <w:rPr>
              <w:rFonts w:hint="eastAsia" w:ascii="宋体" w:hAnsi="宋体" w:eastAsia="宋体" w:cs="宋体"/>
              <w:bCs/>
              <w:kern w:val="36"/>
              <w:szCs w:val="36"/>
            </w:rPr>
            <w:fldChar w:fldCharType="end"/>
          </w:r>
        </w:p>
        <w:p w14:paraId="011197D5">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_Toc22652 </w:instrText>
          </w:r>
          <w:r>
            <w:rPr>
              <w:rFonts w:hint="eastAsia" w:ascii="宋体" w:hAnsi="宋体" w:eastAsia="宋体" w:cs="宋体"/>
              <w:bCs/>
              <w:kern w:val="36"/>
              <w:szCs w:val="36"/>
            </w:rPr>
            <w:fldChar w:fldCharType="separate"/>
          </w:r>
          <w:r>
            <w:rPr>
              <w:rFonts w:hint="eastAsia"/>
            </w:rPr>
            <w:t>六、课程结构与内容</w:t>
          </w:r>
          <w:r>
            <w:tab/>
          </w:r>
          <w:r>
            <w:fldChar w:fldCharType="begin"/>
          </w:r>
          <w:r>
            <w:instrText xml:space="preserve"> PAGEREF _Toc22652 \h </w:instrText>
          </w:r>
          <w:r>
            <w:fldChar w:fldCharType="separate"/>
          </w:r>
          <w:r>
            <w:t>19</w:t>
          </w:r>
          <w:r>
            <w:fldChar w:fldCharType="end"/>
          </w:r>
          <w:r>
            <w:rPr>
              <w:rFonts w:hint="eastAsia" w:ascii="宋体" w:hAnsi="宋体" w:eastAsia="宋体" w:cs="宋体"/>
              <w:bCs/>
              <w:kern w:val="36"/>
              <w:szCs w:val="36"/>
            </w:rPr>
            <w:fldChar w:fldCharType="end"/>
          </w:r>
        </w:p>
        <w:p w14:paraId="53595308">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_Toc9433 </w:instrText>
          </w:r>
          <w:r>
            <w:rPr>
              <w:rFonts w:hint="eastAsia" w:ascii="宋体" w:hAnsi="宋体" w:eastAsia="宋体" w:cs="宋体"/>
              <w:bCs/>
              <w:kern w:val="36"/>
              <w:szCs w:val="36"/>
            </w:rPr>
            <w:fldChar w:fldCharType="separate"/>
          </w:r>
          <w:r>
            <w:rPr>
              <w:rFonts w:hint="eastAsia"/>
            </w:rPr>
            <w:t>七、学习评价</w:t>
          </w:r>
          <w:r>
            <w:tab/>
          </w:r>
          <w:r>
            <w:fldChar w:fldCharType="begin"/>
          </w:r>
          <w:r>
            <w:instrText xml:space="preserve"> PAGEREF _Toc9433 \h </w:instrText>
          </w:r>
          <w:r>
            <w:fldChar w:fldCharType="separate"/>
          </w:r>
          <w:r>
            <w:t>42</w:t>
          </w:r>
          <w:r>
            <w:fldChar w:fldCharType="end"/>
          </w:r>
          <w:r>
            <w:rPr>
              <w:rFonts w:hint="eastAsia" w:ascii="宋体" w:hAnsi="宋体" w:eastAsia="宋体" w:cs="宋体"/>
              <w:bCs/>
              <w:kern w:val="36"/>
              <w:szCs w:val="36"/>
            </w:rPr>
            <w:fldChar w:fldCharType="end"/>
          </w:r>
        </w:p>
        <w:p w14:paraId="548FC187">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_Toc15828 </w:instrText>
          </w:r>
          <w:r>
            <w:rPr>
              <w:rFonts w:hint="eastAsia" w:ascii="宋体" w:hAnsi="宋体" w:eastAsia="宋体" w:cs="宋体"/>
              <w:bCs/>
              <w:kern w:val="36"/>
              <w:szCs w:val="36"/>
            </w:rPr>
            <w:fldChar w:fldCharType="separate"/>
          </w:r>
          <w:r>
            <w:rPr>
              <w:rFonts w:hint="eastAsia"/>
            </w:rPr>
            <w:t>八、教学资源</w:t>
          </w:r>
          <w:r>
            <w:tab/>
          </w:r>
          <w:r>
            <w:fldChar w:fldCharType="begin"/>
          </w:r>
          <w:r>
            <w:instrText xml:space="preserve"> PAGEREF _Toc15828 \h </w:instrText>
          </w:r>
          <w:r>
            <w:fldChar w:fldCharType="separate"/>
          </w:r>
          <w:r>
            <w:t>48</w:t>
          </w:r>
          <w:r>
            <w:fldChar w:fldCharType="end"/>
          </w:r>
          <w:r>
            <w:rPr>
              <w:rFonts w:hint="eastAsia" w:ascii="宋体" w:hAnsi="宋体" w:eastAsia="宋体" w:cs="宋体"/>
              <w:bCs/>
              <w:kern w:val="36"/>
              <w:szCs w:val="36"/>
            </w:rPr>
            <w:fldChar w:fldCharType="end"/>
          </w:r>
        </w:p>
        <w:p w14:paraId="48E5B783">
          <w:pPr>
            <w:pStyle w:val="12"/>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_Toc480 </w:instrText>
          </w:r>
          <w:r>
            <w:rPr>
              <w:rFonts w:hint="eastAsia" w:ascii="宋体" w:hAnsi="宋体" w:eastAsia="宋体" w:cs="宋体"/>
              <w:bCs/>
              <w:kern w:val="36"/>
              <w:szCs w:val="36"/>
            </w:rPr>
            <w:fldChar w:fldCharType="separate"/>
          </w:r>
          <w:r>
            <w:rPr>
              <w:rFonts w:hint="eastAsia"/>
            </w:rPr>
            <w:t>（一）主要参考教材</w:t>
          </w:r>
          <w:r>
            <w:tab/>
          </w:r>
          <w:r>
            <w:fldChar w:fldCharType="begin"/>
          </w:r>
          <w:r>
            <w:instrText xml:space="preserve"> PAGEREF _Toc480 \h </w:instrText>
          </w:r>
          <w:r>
            <w:fldChar w:fldCharType="separate"/>
          </w:r>
          <w:r>
            <w:t>48</w:t>
          </w:r>
          <w:r>
            <w:fldChar w:fldCharType="end"/>
          </w:r>
          <w:r>
            <w:rPr>
              <w:rFonts w:hint="eastAsia" w:ascii="宋体" w:hAnsi="宋体" w:eastAsia="宋体" w:cs="宋体"/>
              <w:bCs/>
              <w:kern w:val="36"/>
              <w:szCs w:val="36"/>
            </w:rPr>
            <w:fldChar w:fldCharType="end"/>
          </w:r>
        </w:p>
        <w:p w14:paraId="1CD33919">
          <w:pPr>
            <w:pStyle w:val="12"/>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_Toc11570 </w:instrText>
          </w:r>
          <w:r>
            <w:rPr>
              <w:rFonts w:hint="eastAsia" w:ascii="宋体" w:hAnsi="宋体" w:eastAsia="宋体" w:cs="宋体"/>
              <w:bCs/>
              <w:kern w:val="36"/>
              <w:szCs w:val="36"/>
            </w:rPr>
            <w:fldChar w:fldCharType="separate"/>
          </w:r>
          <w:r>
            <w:rPr>
              <w:rFonts w:hint="eastAsia"/>
            </w:rPr>
            <w:t>（三） 其他参考资料</w:t>
          </w:r>
          <w:r>
            <w:tab/>
          </w:r>
          <w:r>
            <w:fldChar w:fldCharType="begin"/>
          </w:r>
          <w:r>
            <w:instrText xml:space="preserve"> PAGEREF _Toc11570 \h </w:instrText>
          </w:r>
          <w:r>
            <w:fldChar w:fldCharType="separate"/>
          </w:r>
          <w:r>
            <w:t>49</w:t>
          </w:r>
          <w:r>
            <w:fldChar w:fldCharType="end"/>
          </w:r>
          <w:r>
            <w:rPr>
              <w:rFonts w:hint="eastAsia" w:ascii="宋体" w:hAnsi="宋体" w:eastAsia="宋体" w:cs="宋体"/>
              <w:bCs/>
              <w:kern w:val="36"/>
              <w:szCs w:val="36"/>
            </w:rPr>
            <w:fldChar w:fldCharType="end"/>
          </w:r>
        </w:p>
        <w:p w14:paraId="38F847D0">
          <w:pPr>
            <w:pStyle w:val="12"/>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_Toc6029 </w:instrText>
          </w:r>
          <w:r>
            <w:rPr>
              <w:rFonts w:hint="eastAsia" w:ascii="宋体" w:hAnsi="宋体" w:eastAsia="宋体" w:cs="宋体"/>
              <w:bCs/>
              <w:kern w:val="36"/>
              <w:szCs w:val="36"/>
            </w:rPr>
            <w:fldChar w:fldCharType="separate"/>
          </w:r>
          <w:r>
            <w:rPr>
              <w:rFonts w:hint="eastAsia"/>
            </w:rPr>
            <w:t>（三）实训条件</w:t>
          </w:r>
          <w:r>
            <w:tab/>
          </w:r>
          <w:r>
            <w:fldChar w:fldCharType="begin"/>
          </w:r>
          <w:r>
            <w:instrText xml:space="preserve"> PAGEREF _Toc6029 \h </w:instrText>
          </w:r>
          <w:r>
            <w:fldChar w:fldCharType="separate"/>
          </w:r>
          <w:r>
            <w:t>49</w:t>
          </w:r>
          <w:r>
            <w:fldChar w:fldCharType="end"/>
          </w:r>
          <w:r>
            <w:rPr>
              <w:rFonts w:hint="eastAsia" w:ascii="宋体" w:hAnsi="宋体" w:eastAsia="宋体" w:cs="宋体"/>
              <w:bCs/>
              <w:kern w:val="36"/>
              <w:szCs w:val="36"/>
            </w:rPr>
            <w:fldChar w:fldCharType="end"/>
          </w:r>
        </w:p>
        <w:p w14:paraId="4B820AD0">
          <w:pPr>
            <w:pStyle w:val="12"/>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_Toc23416 </w:instrText>
          </w:r>
          <w:r>
            <w:rPr>
              <w:rFonts w:hint="eastAsia" w:ascii="宋体" w:hAnsi="宋体" w:eastAsia="宋体" w:cs="宋体"/>
              <w:bCs/>
              <w:kern w:val="36"/>
              <w:szCs w:val="36"/>
            </w:rPr>
            <w:fldChar w:fldCharType="separate"/>
          </w:r>
          <w:r>
            <w:rPr>
              <w:rFonts w:hint="eastAsia"/>
            </w:rPr>
            <w:t>（四）信息化教学资源</w:t>
          </w:r>
          <w:r>
            <w:tab/>
          </w:r>
          <w:r>
            <w:fldChar w:fldCharType="begin"/>
          </w:r>
          <w:r>
            <w:instrText xml:space="preserve"> PAGEREF _Toc23416 \h </w:instrText>
          </w:r>
          <w:r>
            <w:fldChar w:fldCharType="separate"/>
          </w:r>
          <w:r>
            <w:t>49</w:t>
          </w:r>
          <w:r>
            <w:fldChar w:fldCharType="end"/>
          </w:r>
          <w:r>
            <w:rPr>
              <w:rFonts w:hint="eastAsia" w:ascii="宋体" w:hAnsi="宋体" w:eastAsia="宋体" w:cs="宋体"/>
              <w:bCs/>
              <w:kern w:val="36"/>
              <w:szCs w:val="36"/>
            </w:rPr>
            <w:fldChar w:fldCharType="end"/>
          </w:r>
        </w:p>
        <w:p w14:paraId="78507DFA">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_Toc28402 </w:instrText>
          </w:r>
          <w:r>
            <w:rPr>
              <w:rFonts w:hint="eastAsia" w:ascii="宋体" w:hAnsi="宋体" w:eastAsia="宋体" w:cs="宋体"/>
              <w:bCs/>
              <w:kern w:val="36"/>
              <w:szCs w:val="36"/>
            </w:rPr>
            <w:fldChar w:fldCharType="separate"/>
          </w:r>
          <w:r>
            <w:rPr>
              <w:rFonts w:hint="eastAsia"/>
            </w:rPr>
            <w:t>九、 师资要求</w:t>
          </w:r>
          <w:r>
            <w:tab/>
          </w:r>
          <w:r>
            <w:fldChar w:fldCharType="begin"/>
          </w:r>
          <w:r>
            <w:instrText xml:space="preserve"> PAGEREF _Toc28402 \h </w:instrText>
          </w:r>
          <w:r>
            <w:fldChar w:fldCharType="separate"/>
          </w:r>
          <w:r>
            <w:t>50</w:t>
          </w:r>
          <w:r>
            <w:fldChar w:fldCharType="end"/>
          </w:r>
          <w:r>
            <w:rPr>
              <w:rFonts w:hint="eastAsia" w:ascii="宋体" w:hAnsi="宋体" w:eastAsia="宋体" w:cs="宋体"/>
              <w:bCs/>
              <w:kern w:val="36"/>
              <w:szCs w:val="36"/>
            </w:rPr>
            <w:fldChar w:fldCharType="end"/>
          </w:r>
        </w:p>
        <w:p w14:paraId="070F55FE">
          <w:pPr>
            <w:pStyle w:val="10"/>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_Toc7746 </w:instrText>
          </w:r>
          <w:r>
            <w:rPr>
              <w:rFonts w:hint="eastAsia" w:ascii="宋体" w:hAnsi="宋体" w:eastAsia="宋体" w:cs="宋体"/>
              <w:bCs/>
              <w:kern w:val="36"/>
              <w:szCs w:val="36"/>
            </w:rPr>
            <w:fldChar w:fldCharType="separate"/>
          </w:r>
          <w:r>
            <w:rPr>
              <w:rFonts w:hint="eastAsia"/>
            </w:rPr>
            <w:t>十、 其它说明</w:t>
          </w:r>
          <w:r>
            <w:tab/>
          </w:r>
          <w:r>
            <w:fldChar w:fldCharType="begin"/>
          </w:r>
          <w:r>
            <w:instrText xml:space="preserve"> PAGEREF _Toc7746 \h </w:instrText>
          </w:r>
          <w:r>
            <w:fldChar w:fldCharType="separate"/>
          </w:r>
          <w:r>
            <w:t>50</w:t>
          </w:r>
          <w:r>
            <w:fldChar w:fldCharType="end"/>
          </w:r>
          <w:r>
            <w:rPr>
              <w:rFonts w:hint="eastAsia" w:ascii="宋体" w:hAnsi="宋体" w:eastAsia="宋体" w:cs="宋体"/>
              <w:bCs/>
              <w:kern w:val="36"/>
              <w:szCs w:val="36"/>
            </w:rPr>
            <w:fldChar w:fldCharType="end"/>
          </w:r>
        </w:p>
        <w:p w14:paraId="2C02FF8D">
          <w:pPr>
            <w:snapToGrid w:val="0"/>
            <w:spacing w:line="360" w:lineRule="auto"/>
            <w:ind w:firstLine="420"/>
            <w:rPr>
              <w:rFonts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宋体" w:hAnsi="宋体" w:eastAsia="宋体" w:cs="宋体"/>
              <w:bCs/>
              <w:kern w:val="36"/>
              <w:szCs w:val="36"/>
            </w:rPr>
            <w:fldChar w:fldCharType="end"/>
          </w:r>
        </w:p>
      </w:sdtContent>
    </w:sdt>
    <w:p w14:paraId="45352E4E">
      <w:pPr>
        <w:pStyle w:val="2"/>
        <w:ind w:firstLine="653"/>
      </w:pPr>
      <w:bookmarkStart w:id="0" w:name="_Toc502337258"/>
      <w:bookmarkStart w:id="1" w:name="_Toc1181"/>
      <w:bookmarkStart w:id="2" w:name="_Toc10917"/>
      <w:bookmarkStart w:id="3" w:name="_Toc16819"/>
      <w:bookmarkStart w:id="4" w:name="_Toc8847"/>
      <w:bookmarkStart w:id="5" w:name="_Toc2469"/>
      <w:r>
        <w:rPr>
          <w:rFonts w:hint="eastAsia"/>
        </w:rPr>
        <w:t>一、课程</w:t>
      </w:r>
      <w:bookmarkEnd w:id="0"/>
      <w:r>
        <w:rPr>
          <w:rFonts w:hint="eastAsia"/>
        </w:rPr>
        <w:t>基本信息</w:t>
      </w:r>
      <w:bookmarkEnd w:id="1"/>
      <w:bookmarkEnd w:id="2"/>
    </w:p>
    <w:p w14:paraId="3F6B75CA">
      <w:pPr>
        <w:ind w:firstLine="0" w:firstLineChars="0"/>
        <w:jc w:val="center"/>
        <w:rPr>
          <w:rFonts w:ascii="仿宋_GB2312" w:hAnsi="仿宋_GB2312" w:cs="仿宋_GB2312"/>
          <w:b/>
          <w:bCs/>
          <w:sz w:val="24"/>
          <w:szCs w:val="21"/>
        </w:rPr>
      </w:pPr>
      <w:r>
        <w:rPr>
          <w:rFonts w:hint="eastAsia" w:ascii="仿宋_GB2312" w:hAnsi="仿宋_GB2312" w:cs="仿宋_GB2312"/>
          <w:b/>
          <w:bCs/>
          <w:sz w:val="24"/>
          <w:szCs w:val="21"/>
        </w:rPr>
        <w:t>表1. 课程基本信息表</w:t>
      </w:r>
    </w:p>
    <w:tbl>
      <w:tblPr>
        <w:tblStyle w:val="1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3D8FB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6D422FEC">
            <w:pPr>
              <w:keepNext w:val="0"/>
              <w:keepLines w:val="0"/>
              <w:suppressLineNumbers w:val="0"/>
              <w:spacing w:before="0" w:beforeAutospacing="0" w:after="0" w:afterAutospacing="0"/>
              <w:ind w:left="0" w:right="0" w:firstLine="0" w:firstLineChars="0"/>
              <w:jc w:val="center"/>
              <w:rPr>
                <w:rFonts w:hint="default" w:ascii="仿宋_GB2312" w:hAnsi="仿宋_GB2312" w:cs="仿宋_GB2312"/>
                <w:b/>
                <w:bCs/>
                <w:sz w:val="24"/>
                <w:szCs w:val="24"/>
              </w:rPr>
            </w:pPr>
            <w:r>
              <w:rPr>
                <w:rFonts w:hint="eastAsia" w:ascii="仿宋_GB2312" w:hAnsi="仿宋_GB2312" w:cs="仿宋_GB2312"/>
                <w:b/>
                <w:bCs/>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39C93CE2">
            <w:pPr>
              <w:keepNext w:val="0"/>
              <w:keepLines w:val="0"/>
              <w:suppressLineNumbers w:val="0"/>
              <w:spacing w:before="0" w:beforeAutospacing="0" w:after="0" w:afterAutospacing="0"/>
              <w:ind w:left="0" w:right="0" w:firstLine="0" w:firstLineChars="0"/>
              <w:jc w:val="center"/>
              <w:rPr>
                <w:rFonts w:hint="default"/>
                <w:sz w:val="24"/>
                <w:szCs w:val="21"/>
              </w:rPr>
            </w:pPr>
            <w:bookmarkStart w:id="6" w:name="OLE_LINK1"/>
            <w:r>
              <w:rPr>
                <w:rFonts w:hint="eastAsia"/>
                <w:sz w:val="24"/>
                <w:szCs w:val="21"/>
              </w:rPr>
              <w:t>企业内部控制   </w:t>
            </w:r>
            <w:bookmarkEnd w:id="6"/>
          </w:p>
        </w:tc>
        <w:tc>
          <w:tcPr>
            <w:tcW w:w="1615" w:type="dxa"/>
            <w:tcBorders>
              <w:top w:val="single" w:color="auto" w:sz="12" w:space="0"/>
              <w:left w:val="single" w:color="auto" w:sz="4" w:space="0"/>
              <w:bottom w:val="single" w:color="auto" w:sz="4" w:space="0"/>
              <w:right w:val="single" w:color="auto" w:sz="4" w:space="0"/>
            </w:tcBorders>
            <w:vAlign w:val="center"/>
          </w:tcPr>
          <w:p w14:paraId="3B0DD521">
            <w:pPr>
              <w:keepNext w:val="0"/>
              <w:keepLines w:val="0"/>
              <w:suppressLineNumbers w:val="0"/>
              <w:spacing w:before="0" w:beforeAutospacing="0" w:after="0" w:afterAutospacing="0"/>
              <w:ind w:left="0" w:right="0" w:firstLine="0" w:firstLineChars="0"/>
              <w:jc w:val="center"/>
              <w:rPr>
                <w:rFonts w:hint="default" w:ascii="仿宋_GB2312" w:hAnsi="仿宋_GB2312" w:cs="仿宋_GB2312"/>
                <w:b/>
                <w:bCs/>
                <w:sz w:val="24"/>
                <w:szCs w:val="24"/>
              </w:rPr>
            </w:pPr>
            <w:r>
              <w:rPr>
                <w:rFonts w:hint="eastAsia" w:ascii="仿宋_GB2312" w:hAnsi="仿宋_GB2312" w:cs="仿宋_GB2312"/>
                <w:b/>
                <w:bCs/>
                <w:sz w:val="24"/>
                <w:szCs w:val="24"/>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7FECB741">
            <w:pPr>
              <w:keepNext w:val="0"/>
              <w:keepLines w:val="0"/>
              <w:suppressLineNumbers w:val="0"/>
              <w:spacing w:before="0" w:beforeAutospacing="0" w:after="0" w:afterAutospacing="0"/>
              <w:ind w:left="0" w:right="0" w:firstLine="0" w:firstLineChars="0"/>
              <w:jc w:val="center"/>
              <w:rPr>
                <w:rFonts w:hint="default"/>
                <w:sz w:val="24"/>
                <w:szCs w:val="21"/>
              </w:rPr>
            </w:pPr>
            <w:r>
              <w:rPr>
                <w:rFonts w:hint="eastAsia" w:ascii="方正仿宋_GB2312" w:hAnsi="方正仿宋_GB2312" w:eastAsia="方正仿宋_GB2312" w:cs="方正仿宋_GB2312"/>
                <w:i w:val="0"/>
                <w:iCs w:val="0"/>
                <w:color w:val="000000"/>
                <w:kern w:val="0"/>
                <w:sz w:val="21"/>
                <w:szCs w:val="21"/>
                <w:u w:val="none"/>
                <w:lang w:val="en-US" w:eastAsia="zh-CN" w:bidi="ar"/>
              </w:rPr>
              <w:t>JG022512</w:t>
            </w:r>
          </w:p>
        </w:tc>
      </w:tr>
      <w:tr w14:paraId="08DC6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5F766DC3">
            <w:pPr>
              <w:keepNext w:val="0"/>
              <w:keepLines w:val="0"/>
              <w:suppressLineNumbers w:val="0"/>
              <w:spacing w:before="0" w:beforeAutospacing="0" w:after="0" w:afterAutospacing="0"/>
              <w:ind w:left="0" w:right="0" w:firstLine="0" w:firstLineChars="0"/>
              <w:jc w:val="center"/>
              <w:rPr>
                <w:rFonts w:hint="default" w:ascii="仿宋_GB2312" w:hAnsi="仿宋_GB2312" w:cs="仿宋_GB2312"/>
                <w:b/>
                <w:bCs/>
                <w:sz w:val="24"/>
                <w:szCs w:val="24"/>
              </w:rPr>
            </w:pPr>
            <w:r>
              <w:rPr>
                <w:rFonts w:hint="eastAsia" w:ascii="仿宋_GB2312" w:hAnsi="仿宋_GB2312" w:cs="仿宋_GB2312"/>
                <w:b/>
                <w:bCs/>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2265E2A3">
            <w:pPr>
              <w:keepNext w:val="0"/>
              <w:keepLines w:val="0"/>
              <w:suppressLineNumbers w:val="0"/>
              <w:spacing w:before="0" w:beforeAutospacing="0" w:after="0" w:afterAutospacing="0"/>
              <w:ind w:left="0" w:right="0" w:firstLine="0" w:firstLineChars="0"/>
              <w:jc w:val="center"/>
              <w:rPr>
                <w:rFonts w:hint="default"/>
                <w:sz w:val="24"/>
                <w:szCs w:val="21"/>
              </w:rPr>
            </w:pPr>
            <w:r>
              <w:rPr>
                <w:rFonts w:hint="eastAsia"/>
                <w:sz w:val="24"/>
                <w:szCs w:val="21"/>
              </w:rPr>
              <w:t xml:space="preserve">□公共课  </w:t>
            </w:r>
            <w:r>
              <w:rPr>
                <w:rFonts w:hint="default"/>
                <w:sz w:val="24"/>
                <w:szCs w:val="21"/>
              </w:rPr>
              <w:fldChar w:fldCharType="begin"/>
            </w:r>
            <w:r>
              <w:rPr>
                <w:rFonts w:hint="default"/>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rFonts w:hint="default"/>
                <w:sz w:val="24"/>
                <w:szCs w:val="21"/>
              </w:rPr>
              <w:fldChar w:fldCharType="end"/>
            </w:r>
            <w:r>
              <w:rPr>
                <w:rFonts w:hint="eastAsia"/>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06167B46">
            <w:pPr>
              <w:keepNext w:val="0"/>
              <w:keepLines w:val="0"/>
              <w:suppressLineNumbers w:val="0"/>
              <w:spacing w:before="0" w:beforeAutospacing="0" w:after="0" w:afterAutospacing="0"/>
              <w:ind w:left="0" w:right="0" w:firstLine="0" w:firstLineChars="0"/>
              <w:jc w:val="center"/>
              <w:rPr>
                <w:rFonts w:hint="default" w:ascii="仿宋_GB2312" w:hAnsi="仿宋_GB2312" w:cs="仿宋_GB2312"/>
                <w:b/>
                <w:bCs/>
                <w:sz w:val="24"/>
                <w:szCs w:val="24"/>
              </w:rPr>
            </w:pPr>
            <w:r>
              <w:rPr>
                <w:rFonts w:hint="eastAsia" w:ascii="仿宋_GB2312" w:hAnsi="仿宋_GB2312" w:cs="仿宋_GB2312"/>
                <w:b/>
                <w:bCs/>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684F7956">
            <w:pPr>
              <w:keepNext w:val="0"/>
              <w:keepLines w:val="0"/>
              <w:suppressLineNumbers w:val="0"/>
              <w:spacing w:before="0" w:beforeAutospacing="0" w:after="0" w:afterAutospacing="0"/>
              <w:ind w:left="0" w:right="0" w:firstLine="0" w:firstLineChars="0"/>
              <w:jc w:val="left"/>
              <w:rPr>
                <w:rFonts w:hint="default"/>
                <w:sz w:val="24"/>
                <w:szCs w:val="21"/>
              </w:rPr>
            </w:pPr>
            <w:r>
              <w:rPr>
                <w:rFonts w:hint="default"/>
                <w:sz w:val="24"/>
                <w:szCs w:val="21"/>
              </w:rPr>
              <w:fldChar w:fldCharType="begin"/>
            </w:r>
            <w:r>
              <w:rPr>
                <w:rFonts w:hint="default"/>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rFonts w:hint="default"/>
                <w:sz w:val="24"/>
                <w:szCs w:val="21"/>
              </w:rPr>
              <w:fldChar w:fldCharType="end"/>
            </w:r>
            <w:r>
              <w:rPr>
                <w:rFonts w:hint="eastAsia"/>
                <w:sz w:val="24"/>
                <w:szCs w:val="21"/>
              </w:rPr>
              <w:t>必修</w:t>
            </w:r>
            <w:r>
              <w:rPr>
                <w:rFonts w:hint="eastAsia"/>
                <w:sz w:val="24"/>
                <w:szCs w:val="21"/>
              </w:rPr>
              <w:sym w:font="Wingdings 2" w:char="00A3"/>
            </w:r>
            <w:r>
              <w:rPr>
                <w:rFonts w:hint="eastAsia"/>
                <w:sz w:val="24"/>
                <w:szCs w:val="21"/>
              </w:rPr>
              <w:t>限选□任选</w:t>
            </w:r>
          </w:p>
        </w:tc>
      </w:tr>
      <w:tr w14:paraId="5D71B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5098622F">
            <w:pPr>
              <w:keepNext w:val="0"/>
              <w:keepLines w:val="0"/>
              <w:suppressLineNumbers w:val="0"/>
              <w:spacing w:before="0" w:beforeAutospacing="0" w:after="0" w:afterAutospacing="0"/>
              <w:ind w:left="0" w:right="0" w:firstLine="0" w:firstLineChars="0"/>
              <w:jc w:val="center"/>
              <w:rPr>
                <w:rFonts w:hint="default" w:ascii="仿宋_GB2312" w:hAnsi="仿宋_GB2312" w:cs="仿宋_GB2312"/>
                <w:b/>
                <w:bCs/>
                <w:sz w:val="24"/>
                <w:szCs w:val="24"/>
              </w:rPr>
            </w:pPr>
            <w:r>
              <w:rPr>
                <w:rFonts w:hint="eastAsia" w:ascii="仿宋_GB2312" w:hAnsi="仿宋_GB2312" w:cs="仿宋_GB2312"/>
                <w:b/>
                <w:bCs/>
                <w:sz w:val="24"/>
                <w:szCs w:val="24"/>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7BC73C8D">
            <w:pPr>
              <w:keepNext w:val="0"/>
              <w:keepLines w:val="0"/>
              <w:suppressLineNumbers w:val="0"/>
              <w:spacing w:before="0" w:beforeAutospacing="0" w:after="0" w:afterAutospacing="0"/>
              <w:ind w:left="0" w:right="0" w:firstLine="0" w:firstLineChars="0"/>
              <w:jc w:val="center"/>
              <w:rPr>
                <w:rFonts w:hint="default" w:eastAsia="仿宋_GB2312"/>
                <w:sz w:val="24"/>
                <w:szCs w:val="21"/>
                <w:lang w:val="en-US" w:eastAsia="zh-CN"/>
              </w:rPr>
            </w:pPr>
            <w:r>
              <w:rPr>
                <w:rFonts w:hint="eastAsia"/>
                <w:sz w:val="24"/>
                <w:szCs w:val="21"/>
                <w:lang w:val="en-US" w:eastAsia="zh-CN"/>
              </w:rPr>
              <w:t>64</w:t>
            </w:r>
          </w:p>
        </w:tc>
        <w:tc>
          <w:tcPr>
            <w:tcW w:w="1615" w:type="dxa"/>
            <w:tcBorders>
              <w:top w:val="single" w:color="auto" w:sz="4" w:space="0"/>
              <w:left w:val="single" w:color="auto" w:sz="4" w:space="0"/>
              <w:bottom w:val="single" w:color="auto" w:sz="4" w:space="0"/>
              <w:right w:val="single" w:color="auto" w:sz="4" w:space="0"/>
            </w:tcBorders>
            <w:vAlign w:val="center"/>
          </w:tcPr>
          <w:p w14:paraId="009E1DB2">
            <w:pPr>
              <w:keepNext w:val="0"/>
              <w:keepLines w:val="0"/>
              <w:suppressLineNumbers w:val="0"/>
              <w:spacing w:before="0" w:beforeAutospacing="0" w:after="0" w:afterAutospacing="0"/>
              <w:ind w:left="0" w:right="0" w:firstLine="0" w:firstLineChars="0"/>
              <w:jc w:val="center"/>
              <w:rPr>
                <w:rFonts w:hint="default" w:ascii="仿宋_GB2312" w:hAnsi="仿宋_GB2312" w:cs="仿宋_GB2312"/>
                <w:b/>
                <w:bCs/>
                <w:sz w:val="24"/>
                <w:szCs w:val="24"/>
              </w:rPr>
            </w:pPr>
            <w:r>
              <w:rPr>
                <w:rFonts w:hint="eastAsia" w:ascii="仿宋_GB2312" w:hAnsi="仿宋_GB2312" w:cs="仿宋_GB2312"/>
                <w:b/>
                <w:bCs/>
                <w:sz w:val="24"/>
                <w:szCs w:val="24"/>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77B661EF">
            <w:pPr>
              <w:keepNext w:val="0"/>
              <w:keepLines w:val="0"/>
              <w:suppressLineNumbers w:val="0"/>
              <w:spacing w:before="0" w:beforeAutospacing="0" w:after="0" w:afterAutospacing="0"/>
              <w:ind w:left="0" w:right="0" w:firstLine="0" w:firstLineChars="0"/>
              <w:jc w:val="center"/>
              <w:rPr>
                <w:rFonts w:hint="eastAsia" w:eastAsia="仿宋_GB2312"/>
                <w:sz w:val="24"/>
                <w:szCs w:val="21"/>
                <w:lang w:val="en-US" w:eastAsia="zh-CN"/>
              </w:rPr>
            </w:pPr>
            <w:r>
              <w:rPr>
                <w:rFonts w:hint="eastAsia"/>
                <w:sz w:val="24"/>
                <w:szCs w:val="21"/>
                <w:lang w:val="en-US" w:eastAsia="zh-CN"/>
              </w:rPr>
              <w:t>4</w:t>
            </w:r>
          </w:p>
        </w:tc>
      </w:tr>
      <w:tr w14:paraId="2DF70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5CC10B47">
            <w:pPr>
              <w:keepNext w:val="0"/>
              <w:keepLines w:val="0"/>
              <w:suppressLineNumbers w:val="0"/>
              <w:spacing w:before="0" w:beforeAutospacing="0" w:after="0" w:afterAutospacing="0"/>
              <w:ind w:left="0" w:right="0" w:firstLine="0" w:firstLineChars="0"/>
              <w:rPr>
                <w:rFonts w:hint="default" w:ascii="仿宋_GB2312" w:hAnsi="仿宋_GB2312" w:cs="仿宋_GB2312"/>
                <w:b/>
                <w:bCs/>
                <w:sz w:val="24"/>
                <w:szCs w:val="24"/>
              </w:rPr>
            </w:pPr>
            <w:r>
              <w:rPr>
                <w:rFonts w:hint="eastAsia" w:ascii="仿宋_GB2312" w:hAnsi="仿宋_GB2312" w:cs="仿宋_GB2312"/>
                <w:b/>
                <w:bCs/>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763649DE">
            <w:pPr>
              <w:keepNext w:val="0"/>
              <w:keepLines w:val="0"/>
              <w:suppressLineNumbers w:val="0"/>
              <w:spacing w:before="0" w:beforeAutospacing="0" w:after="0" w:afterAutospacing="0"/>
              <w:ind w:left="0" w:right="0" w:firstLine="0" w:firstLineChars="0"/>
              <w:jc w:val="center"/>
              <w:rPr>
                <w:rFonts w:hint="default"/>
                <w:sz w:val="24"/>
                <w:szCs w:val="21"/>
              </w:rPr>
            </w:pPr>
            <w:r>
              <w:rPr>
                <w:rFonts w:hint="default"/>
                <w:sz w:val="24"/>
                <w:szCs w:val="21"/>
              </w:rPr>
              <w:fldChar w:fldCharType="begin"/>
            </w:r>
            <w:r>
              <w:rPr>
                <w:rFonts w:hint="default"/>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rFonts w:hint="default"/>
                <w:sz w:val="24"/>
                <w:szCs w:val="21"/>
              </w:rPr>
              <w:fldChar w:fldCharType="end"/>
            </w:r>
            <w:r>
              <w:rPr>
                <w:rFonts w:hint="eastAsia"/>
                <w:sz w:val="24"/>
                <w:szCs w:val="21"/>
              </w:rPr>
              <w:t>是             □否</w:t>
            </w:r>
          </w:p>
        </w:tc>
      </w:tr>
      <w:tr w14:paraId="53F86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5551D966">
            <w:pPr>
              <w:keepNext w:val="0"/>
              <w:keepLines w:val="0"/>
              <w:suppressLineNumbers w:val="0"/>
              <w:spacing w:before="0" w:beforeAutospacing="0" w:after="0" w:afterAutospacing="0"/>
              <w:ind w:left="0" w:right="0" w:firstLine="0" w:firstLineChars="0"/>
              <w:jc w:val="center"/>
              <w:rPr>
                <w:rFonts w:hint="default" w:ascii="仿宋_GB2312" w:hAnsi="仿宋_GB2312" w:cs="仿宋_GB2312"/>
                <w:b/>
                <w:bCs/>
                <w:sz w:val="24"/>
                <w:szCs w:val="24"/>
              </w:rPr>
            </w:pPr>
            <w:r>
              <w:rPr>
                <w:rFonts w:hint="eastAsia" w:ascii="仿宋_GB2312" w:hAnsi="仿宋_GB2312" w:cs="仿宋_GB2312"/>
                <w:b/>
                <w:bCs/>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0E1BEFAA">
            <w:pPr>
              <w:keepNext w:val="0"/>
              <w:keepLines w:val="0"/>
              <w:suppressLineNumbers w:val="0"/>
              <w:spacing w:before="0" w:beforeAutospacing="0" w:after="0" w:afterAutospacing="0"/>
              <w:ind w:left="0" w:right="0" w:firstLine="0" w:firstLineChars="0"/>
              <w:jc w:val="center"/>
              <w:rPr>
                <w:rFonts w:hint="default" w:eastAsia="仿宋_GB2312"/>
                <w:sz w:val="24"/>
                <w:szCs w:val="21"/>
                <w:lang w:val="en-US" w:eastAsia="zh-CN"/>
              </w:rPr>
            </w:pPr>
            <w:bookmarkStart w:id="7" w:name="OLE_LINK2"/>
            <w:r>
              <w:rPr>
                <w:rFonts w:hint="eastAsia"/>
                <w:sz w:val="24"/>
                <w:szCs w:val="21"/>
                <w:lang w:val="en-US" w:eastAsia="zh-CN"/>
              </w:rPr>
              <w:t>大数据与会计</w:t>
            </w:r>
            <w:bookmarkEnd w:id="7"/>
          </w:p>
        </w:tc>
      </w:tr>
      <w:tr w14:paraId="79C7B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06DB938">
            <w:pPr>
              <w:keepNext w:val="0"/>
              <w:keepLines w:val="0"/>
              <w:suppressLineNumbers w:val="0"/>
              <w:spacing w:before="0" w:beforeAutospacing="0" w:after="0" w:afterAutospacing="0"/>
              <w:ind w:left="0" w:right="0" w:firstLine="0" w:firstLineChars="0"/>
              <w:jc w:val="center"/>
              <w:rPr>
                <w:rFonts w:hint="default" w:ascii="仿宋_GB2312" w:hAnsi="仿宋_GB2312" w:cs="仿宋_GB2312"/>
                <w:b/>
                <w:bCs/>
                <w:sz w:val="24"/>
                <w:szCs w:val="24"/>
              </w:rPr>
            </w:pPr>
            <w:r>
              <w:rPr>
                <w:rFonts w:hint="eastAsia" w:ascii="仿宋_GB2312" w:hAnsi="仿宋_GB2312" w:cs="仿宋_GB2312"/>
                <w:b/>
                <w:bCs/>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96AD1DB">
            <w:pPr>
              <w:keepNext w:val="0"/>
              <w:keepLines w:val="0"/>
              <w:suppressLineNumbers w:val="0"/>
              <w:spacing w:before="0" w:beforeAutospacing="0" w:after="0" w:afterAutospacing="0"/>
              <w:ind w:left="0" w:right="0" w:firstLine="0" w:firstLineChars="0"/>
              <w:jc w:val="center"/>
              <w:rPr>
                <w:rFonts w:hint="default"/>
                <w:sz w:val="24"/>
                <w:szCs w:val="21"/>
              </w:rPr>
            </w:pPr>
          </w:p>
        </w:tc>
      </w:tr>
    </w:tbl>
    <w:p w14:paraId="544F876E">
      <w:pPr>
        <w:pStyle w:val="2"/>
        <w:numPr>
          <w:ilvl w:val="0"/>
          <w:numId w:val="1"/>
        </w:numPr>
        <w:ind w:firstLine="653"/>
      </w:pPr>
      <w:bookmarkStart w:id="8" w:name="_Toc15437"/>
      <w:bookmarkStart w:id="9" w:name="_Toc502337262"/>
      <w:bookmarkStart w:id="10" w:name="_Toc30964"/>
      <w:r>
        <w:rPr>
          <w:rFonts w:hint="eastAsia"/>
        </w:rPr>
        <w:t>课程任务</w:t>
      </w:r>
      <w:bookmarkEnd w:id="8"/>
    </w:p>
    <w:p w14:paraId="7D1FF87B">
      <w:pPr>
        <w:ind w:firstLine="560"/>
        <w:rPr>
          <w:rFonts w:hint="eastAsia"/>
        </w:rPr>
      </w:pPr>
      <w:r>
        <w:rPr>
          <w:rFonts w:hint="eastAsia"/>
        </w:rPr>
        <w:t>《</w:t>
      </w:r>
      <w:r>
        <w:rPr>
          <w:rFonts w:hint="eastAsia" w:ascii="Times New Roman" w:hAnsi="Times New Roman" w:cs="Times New Roman"/>
          <w:lang w:val="en-US" w:eastAsia="zh-CN"/>
        </w:rPr>
        <w:t>企业内部控制 </w:t>
      </w:r>
      <w:r>
        <w:rPr>
          <w:rFonts w:hint="eastAsia"/>
        </w:rPr>
        <w:t>》是</w:t>
      </w:r>
      <w:r>
        <w:rPr>
          <w:rFonts w:hint="eastAsia" w:ascii="Times New Roman" w:hAnsi="Times New Roman" w:cs="Times New Roman"/>
          <w:lang w:val="en-US" w:eastAsia="zh-CN"/>
        </w:rPr>
        <w:t>大数据与会计专</w:t>
      </w:r>
      <w:r>
        <w:rPr>
          <w:rFonts w:hint="eastAsia"/>
        </w:rPr>
        <w:t>业的一门</w:t>
      </w:r>
      <w:r>
        <w:rPr>
          <w:rFonts w:hint="eastAsia"/>
          <w:lang w:val="en-US" w:eastAsia="zh-CN"/>
        </w:rPr>
        <w:t>专业核心</w:t>
      </w:r>
      <w:r>
        <w:rPr>
          <w:rFonts w:hint="eastAsia"/>
        </w:rPr>
        <w:t>课，本课程全面贯彻党的教育方针，落实立德树人根本任务，培养学生勇于创新的精神和学生能够初步掌握企业加强内部控制的基本技能和方法，实现从单纯的记账、算账、报账向从企业管理角度思考会计及相关工作问题的转变。学生能够制定完善的企业业务流程，建立健全内部控制制度，有效堵塞管理漏洞，从而更好地融入企业运营，积极参与企业管理。</w:t>
      </w:r>
    </w:p>
    <w:p w14:paraId="221BA5B4">
      <w:pPr>
        <w:ind w:firstLine="560"/>
        <w:rPr>
          <w:rFonts w:hint="eastAsia"/>
        </w:rPr>
      </w:pPr>
      <w:r>
        <w:rPr>
          <w:rFonts w:hint="eastAsia"/>
        </w:rPr>
        <w:t>通过</w:t>
      </w:r>
      <w:r>
        <w:rPr>
          <w:rFonts w:hint="eastAsia"/>
          <w:lang w:val="en-US" w:eastAsia="zh-CN"/>
        </w:rPr>
        <w:t>本课程</w:t>
      </w:r>
      <w:r>
        <w:rPr>
          <w:rFonts w:hint="eastAsia"/>
        </w:rPr>
        <w:t>教学，使学生具备风险识别技术、控制活动设计技术、信息与沟通技术、内部控制文档编制、内部控制审计流程执行、内部控制缺陷评估、内部控制体系优化、内部控制信息化应用等方面的技能，提高学生在企业内部控制体系构建与运行过程中分析问题和解决问题的能力，以便使学生实现从学校到社会的平稳过渡。</w:t>
      </w:r>
    </w:p>
    <w:p w14:paraId="79C06872">
      <w:pPr>
        <w:pStyle w:val="2"/>
        <w:ind w:firstLine="653"/>
      </w:pPr>
      <w:bookmarkStart w:id="11" w:name="_Toc20345"/>
      <w:r>
        <w:rPr>
          <w:rFonts w:hint="eastAsia"/>
        </w:rPr>
        <w:t>三、课程目标</w:t>
      </w:r>
      <w:bookmarkEnd w:id="9"/>
      <w:bookmarkEnd w:id="10"/>
      <w:bookmarkEnd w:id="11"/>
      <w:bookmarkStart w:id="12" w:name="_Toc502337263"/>
    </w:p>
    <w:p w14:paraId="19BD038F">
      <w:pPr>
        <w:ind w:firstLine="560"/>
      </w:pPr>
      <w:r>
        <w:rPr>
          <w:rFonts w:hint="eastAsia"/>
        </w:rPr>
        <w:t>完成本课程学习后，学生应当具有以下素质、知识和能力：</w:t>
      </w:r>
    </w:p>
    <w:bookmarkEnd w:id="12"/>
    <w:p w14:paraId="241D8125">
      <w:pPr>
        <w:pStyle w:val="3"/>
        <w:numPr>
          <w:ilvl w:val="0"/>
          <w:numId w:val="2"/>
        </w:numPr>
        <w:ind w:firstLine="560"/>
      </w:pPr>
      <w:bookmarkStart w:id="13" w:name="_Toc90472987"/>
      <w:bookmarkStart w:id="14" w:name="_Toc7412"/>
      <w:bookmarkStart w:id="15" w:name="_Toc17006"/>
      <w:r>
        <w:rPr>
          <w:rFonts w:hint="eastAsia"/>
        </w:rPr>
        <w:t>素质目标</w:t>
      </w:r>
      <w:bookmarkEnd w:id="13"/>
      <w:bookmarkEnd w:id="14"/>
      <w:bookmarkEnd w:id="15"/>
      <w:bookmarkStart w:id="16" w:name="_Toc502337264"/>
    </w:p>
    <w:p w14:paraId="19F955F8">
      <w:pPr>
        <w:numPr>
          <w:ilvl w:val="0"/>
          <w:numId w:val="3"/>
        </w:numPr>
        <w:rPr>
          <w:rFonts w:ascii="Times New Roman" w:hAnsi="Times New Roman" w:cs="Times New Roman"/>
        </w:rPr>
      </w:pPr>
      <w:bookmarkStart w:id="17" w:name="_Toc24734"/>
      <w:bookmarkStart w:id="18" w:name="_Toc90472988"/>
      <w:r>
        <w:rPr>
          <w:rFonts w:ascii="Times New Roman" w:hAnsi="Times New Roman" w:cs="Times New Roman"/>
        </w:rPr>
        <w:t>树立正确的职业道德观念，具备诚实守信、廉洁奉公、保守秘密的职业操守。</w:t>
      </w:r>
      <w:r>
        <w:rPr>
          <w:rFonts w:hint="default" w:ascii="Times New Roman" w:hAnsi="Times New Roman" w:cs="Times New Roman"/>
        </w:rPr>
        <w:t>​</w:t>
      </w:r>
    </w:p>
    <w:p w14:paraId="4B544762">
      <w:pPr>
        <w:numPr>
          <w:ilvl w:val="0"/>
          <w:numId w:val="3"/>
        </w:numPr>
        <w:rPr>
          <w:rFonts w:ascii="Times New Roman" w:hAnsi="Times New Roman" w:cs="Times New Roman"/>
        </w:rPr>
      </w:pPr>
      <w:r>
        <w:rPr>
          <w:rFonts w:hint="default" w:ascii="Times New Roman" w:hAnsi="Times New Roman" w:cs="Times New Roman"/>
        </w:rPr>
        <w:t>培养严谨细致、认真负责的工作态度，提高风险防范意识和合规意识。​</w:t>
      </w:r>
    </w:p>
    <w:p w14:paraId="542912FA">
      <w:pPr>
        <w:numPr>
          <w:ilvl w:val="0"/>
          <w:numId w:val="3"/>
        </w:numPr>
        <w:rPr>
          <w:rFonts w:ascii="Times New Roman" w:hAnsi="Times New Roman" w:cs="Times New Roman"/>
        </w:rPr>
      </w:pPr>
      <w:r>
        <w:rPr>
          <w:rFonts w:hint="default" w:ascii="Times New Roman" w:hAnsi="Times New Roman" w:cs="Times New Roman"/>
        </w:rPr>
        <w:t>增强团队协作能力和沟通能力，能够与团队成员及企业内外部相关人员进行有效的沟通与协作。​</w:t>
      </w:r>
    </w:p>
    <w:p w14:paraId="7D721F85">
      <w:pPr>
        <w:numPr>
          <w:ilvl w:val="0"/>
          <w:numId w:val="3"/>
        </w:numPr>
        <w:rPr>
          <w:rFonts w:ascii="Times New Roman" w:hAnsi="Times New Roman" w:cs="Times New Roman"/>
        </w:rPr>
      </w:pPr>
      <w:r>
        <w:rPr>
          <w:rFonts w:hint="default" w:ascii="Times New Roman" w:hAnsi="Times New Roman" w:cs="Times New Roman"/>
        </w:rPr>
        <w:t>培养创新思维和自主学习能力，能够不断适应企业内部控制工作的发展变化，持续提升自身专业素养。</w:t>
      </w:r>
    </w:p>
    <w:p w14:paraId="0BFB4F2D">
      <w:pPr>
        <w:pStyle w:val="3"/>
        <w:numPr>
          <w:ilvl w:val="0"/>
          <w:numId w:val="2"/>
        </w:numPr>
        <w:ind w:firstLine="560"/>
      </w:pPr>
      <w:bookmarkStart w:id="19" w:name="_Toc4755"/>
      <w:r>
        <w:rPr>
          <w:rFonts w:hint="eastAsia"/>
        </w:rPr>
        <w:t>知识目标</w:t>
      </w:r>
      <w:bookmarkEnd w:id="16"/>
      <w:bookmarkEnd w:id="17"/>
      <w:bookmarkEnd w:id="18"/>
      <w:bookmarkEnd w:id="19"/>
      <w:bookmarkStart w:id="20" w:name="_Toc502337265"/>
    </w:p>
    <w:p w14:paraId="3185D556">
      <w:pPr>
        <w:numPr>
          <w:ilvl w:val="0"/>
          <w:numId w:val="4"/>
        </w:numPr>
        <w:ind w:firstLine="560" w:firstLineChars="200"/>
        <w:rPr>
          <w:rFonts w:hint="default"/>
        </w:rPr>
      </w:pPr>
      <w:r>
        <w:t>了解企业内部控制的起源、发展历程及国内外相关法规政策，理解内部控制的基本概念、目标、原则和要素。</w:t>
      </w:r>
      <w:r>
        <w:rPr>
          <w:rFonts w:hint="default"/>
        </w:rPr>
        <w:t>​</w:t>
      </w:r>
    </w:p>
    <w:p w14:paraId="62E9E9AC">
      <w:pPr>
        <w:numPr>
          <w:ilvl w:val="0"/>
          <w:numId w:val="4"/>
        </w:numPr>
        <w:ind w:firstLine="560" w:firstLineChars="200"/>
      </w:pPr>
      <w:r>
        <w:rPr>
          <w:rFonts w:hint="default"/>
        </w:rPr>
        <w:t>熟悉企业主要业务流程（如货币资金、采购与付款、销售与收款、存货管理、固定资产管理、筹资与投资等）的内部控制要点和方法。​</w:t>
      </w:r>
    </w:p>
    <w:p w14:paraId="3235C024">
      <w:pPr>
        <w:numPr>
          <w:ilvl w:val="0"/>
          <w:numId w:val="4"/>
        </w:numPr>
        <w:ind w:firstLine="560" w:firstLineChars="200"/>
      </w:pPr>
      <w:r>
        <w:rPr>
          <w:rFonts w:hint="default"/>
        </w:rPr>
        <w:t>掌握企业内部控制制度的设计、执行与评价的基本理论和方法，了解内部控制审计的相关知识。​</w:t>
      </w:r>
    </w:p>
    <w:p w14:paraId="37A4A566">
      <w:pPr>
        <w:numPr>
          <w:ilvl w:val="0"/>
          <w:numId w:val="4"/>
        </w:numPr>
        <w:ind w:firstLine="560" w:firstLineChars="200"/>
      </w:pPr>
      <w:r>
        <w:rPr>
          <w:rFonts w:hint="default"/>
        </w:rPr>
        <w:t>了解大数据技术在企业内部控制中的应用场景和基本原理。</w:t>
      </w:r>
    </w:p>
    <w:p w14:paraId="126EBBCC">
      <w:pPr>
        <w:pStyle w:val="3"/>
        <w:numPr>
          <w:ilvl w:val="0"/>
          <w:numId w:val="2"/>
        </w:numPr>
        <w:ind w:firstLine="560"/>
      </w:pPr>
      <w:bookmarkStart w:id="21" w:name="_Toc12623"/>
      <w:bookmarkStart w:id="22" w:name="_Toc23494"/>
      <w:bookmarkStart w:id="23" w:name="_Toc90472989"/>
      <w:r>
        <w:rPr>
          <w:rFonts w:hint="eastAsia"/>
        </w:rPr>
        <w:t>能力目标</w:t>
      </w:r>
      <w:bookmarkEnd w:id="20"/>
      <w:bookmarkEnd w:id="21"/>
      <w:bookmarkEnd w:id="22"/>
      <w:bookmarkEnd w:id="23"/>
    </w:p>
    <w:p w14:paraId="337FF178">
      <w:pPr>
        <w:numPr>
          <w:ilvl w:val="0"/>
          <w:numId w:val="5"/>
        </w:numPr>
        <w:ind w:firstLine="560" w:firstLineChars="200"/>
        <w:rPr>
          <w:rFonts w:hint="default" w:ascii="Times New Roman" w:hAnsi="Times New Roman" w:cs="Times New Roman"/>
        </w:rPr>
      </w:pPr>
      <w:bookmarkStart w:id="24" w:name="_Toc11296"/>
      <w:r>
        <w:rPr>
          <w:rFonts w:hint="default" w:ascii="Times New Roman" w:hAnsi="Times New Roman" w:cs="Times New Roman"/>
        </w:rPr>
        <w:t>能够运用内部控制理论和方法，对企业各类业务活动进行风险识别和评估，确定关键风险点。​</w:t>
      </w:r>
    </w:p>
    <w:p w14:paraId="2A4E0C0A">
      <w:pPr>
        <w:numPr>
          <w:ilvl w:val="0"/>
          <w:numId w:val="5"/>
        </w:numPr>
        <w:ind w:firstLine="560" w:firstLineChars="200"/>
        <w:rPr>
          <w:rFonts w:hint="default" w:ascii="Times New Roman" w:hAnsi="Times New Roman" w:cs="Times New Roman"/>
        </w:rPr>
      </w:pPr>
      <w:r>
        <w:rPr>
          <w:rFonts w:hint="default" w:ascii="Times New Roman" w:hAnsi="Times New Roman" w:cs="Times New Roman"/>
        </w:rPr>
        <w:t>具备根据企业实际情况，设计和优化企业内部控制制度和流程的能力，能够编写内部控制相关文档。​</w:t>
      </w:r>
    </w:p>
    <w:p w14:paraId="102060BA">
      <w:pPr>
        <w:numPr>
          <w:ilvl w:val="0"/>
          <w:numId w:val="5"/>
        </w:numPr>
        <w:ind w:firstLine="560" w:firstLineChars="200"/>
        <w:rPr>
          <w:rFonts w:hint="default" w:ascii="Times New Roman" w:hAnsi="Times New Roman" w:cs="Times New Roman"/>
        </w:rPr>
      </w:pPr>
      <w:r>
        <w:rPr>
          <w:rFonts w:hint="default" w:ascii="Times New Roman" w:hAnsi="Times New Roman" w:cs="Times New Roman"/>
        </w:rPr>
        <w:t>能够有效执行企业内部控制制度，对内部控制执行过程进行监督和检查，及时发现并解决问题。​​</w:t>
      </w:r>
    </w:p>
    <w:p w14:paraId="2C833157">
      <w:pPr>
        <w:numPr>
          <w:ilvl w:val="0"/>
          <w:numId w:val="5"/>
        </w:numPr>
        <w:ind w:firstLine="560" w:firstLineChars="200"/>
        <w:rPr>
          <w:rFonts w:hint="default" w:ascii="Times New Roman" w:hAnsi="Times New Roman" w:cs="Times New Roman"/>
        </w:rPr>
      </w:pPr>
      <w:r>
        <w:rPr>
          <w:rFonts w:hint="default" w:ascii="Times New Roman" w:hAnsi="Times New Roman" w:cs="Times New Roman"/>
        </w:rPr>
        <w:t>能够借助大数据分析工具，收集、整理和分析企业内部控制相关数据，为内部控制决策提供支持。</w:t>
      </w:r>
    </w:p>
    <w:p w14:paraId="293D9D0D">
      <w:pPr>
        <w:numPr>
          <w:ilvl w:val="0"/>
          <w:numId w:val="5"/>
        </w:numPr>
        <w:ind w:firstLine="560" w:firstLineChars="200"/>
        <w:rPr>
          <w:rFonts w:hint="default" w:ascii="Times New Roman" w:hAnsi="Times New Roman" w:cs="Times New Roman"/>
        </w:rPr>
      </w:pPr>
      <w:r>
        <w:rPr>
          <w:rFonts w:hint="eastAsia" w:cs="Times New Roman"/>
          <w:lang w:val="en-US" w:eastAsia="zh-CN"/>
        </w:rPr>
        <w:t>具备</w:t>
      </w:r>
      <w:r>
        <w:rPr>
          <w:rFonts w:hint="default" w:ascii="Times New Roman" w:hAnsi="Times New Roman" w:cs="Times New Roman"/>
        </w:rPr>
        <w:t>运用大数据技术识别企业风险</w:t>
      </w:r>
      <w:r>
        <w:rPr>
          <w:rFonts w:hint="eastAsia" w:cs="Times New Roman"/>
          <w:lang w:eastAsia="zh-CN"/>
        </w:rPr>
        <w:t>、</w:t>
      </w:r>
      <w:r>
        <w:rPr>
          <w:rFonts w:hint="default" w:ascii="Times New Roman" w:hAnsi="Times New Roman" w:cs="Times New Roman"/>
        </w:rPr>
        <w:t>基于财务数据可视化构建风险预警模型等</w:t>
      </w:r>
      <w:r>
        <w:rPr>
          <w:rFonts w:hint="eastAsia" w:cs="Times New Roman"/>
          <w:lang w:val="en-US" w:eastAsia="zh-CN"/>
        </w:rPr>
        <w:t>能力。</w:t>
      </w:r>
    </w:p>
    <w:p w14:paraId="322C15E1">
      <w:pPr>
        <w:numPr>
          <w:ilvl w:val="0"/>
          <w:numId w:val="5"/>
        </w:numPr>
        <w:ind w:firstLine="560" w:firstLineChars="200"/>
        <w:rPr>
          <w:rFonts w:hint="default" w:ascii="Times New Roman" w:hAnsi="Times New Roman" w:cs="Times New Roman"/>
        </w:rPr>
      </w:pPr>
      <w:r>
        <w:rPr>
          <w:rFonts w:hint="default" w:ascii="Times New Roman" w:hAnsi="Times New Roman" w:cs="Times New Roman"/>
        </w:rPr>
        <w:t>熟悉大数据处理技术，如Hadoop、Spark等，以及NoSQL数据库，如MongoDB、Cassandra等，能够处理海量、高维度的财务和业务数据，满足企业在大数据时代对数据处理和分析的需求。</w:t>
      </w:r>
    </w:p>
    <w:p w14:paraId="4DC34B13">
      <w:pPr>
        <w:pStyle w:val="2"/>
        <w:ind w:firstLine="653"/>
      </w:pPr>
      <w:bookmarkStart w:id="25" w:name="_Toc30012"/>
      <w:r>
        <w:rPr>
          <w:rFonts w:hint="eastAsia"/>
        </w:rPr>
        <w:t>四、课程职业能力分析</w:t>
      </w:r>
      <w:bookmarkEnd w:id="24"/>
      <w:bookmarkEnd w:id="25"/>
    </w:p>
    <w:p w14:paraId="7A2DEBC4">
      <w:pPr>
        <w:widowControl/>
        <w:spacing w:before="156" w:beforeLines="50"/>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表2. 课程职业能力分析表</w:t>
      </w:r>
    </w:p>
    <w:tbl>
      <w:tblPr>
        <w:tblStyle w:val="14"/>
        <w:tblW w:w="9152"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7"/>
        <w:gridCol w:w="1409"/>
        <w:gridCol w:w="1851"/>
        <w:gridCol w:w="2268"/>
        <w:gridCol w:w="2347"/>
      </w:tblGrid>
      <w:tr w14:paraId="60E03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1277" w:type="dxa"/>
            <w:tcBorders>
              <w:top w:val="single" w:color="auto" w:sz="12" w:space="0"/>
              <w:left w:val="single" w:color="auto" w:sz="12" w:space="0"/>
              <w:bottom w:val="single" w:color="auto" w:sz="4" w:space="0"/>
              <w:right w:val="single" w:color="auto" w:sz="4" w:space="0"/>
            </w:tcBorders>
            <w:shd w:val="clear" w:color="auto" w:fill="auto"/>
            <w:vAlign w:val="center"/>
          </w:tcPr>
          <w:p w14:paraId="28F20360">
            <w:pPr>
              <w:keepNext w:val="0"/>
              <w:keepLines w:val="0"/>
              <w:widowControl/>
              <w:suppressLineNumbers w:val="0"/>
              <w:spacing w:before="0" w:beforeAutospacing="0" w:after="0" w:afterAutospacing="0" w:line="400" w:lineRule="exact"/>
              <w:ind w:left="0" w:right="0" w:firstLine="0" w:firstLineChars="0"/>
              <w:jc w:val="center"/>
              <w:rPr>
                <w:rFonts w:hint="default" w:ascii="仿宋_GB2312" w:hAnsi="仿宋_GB2312" w:cs="仿宋_GB2312"/>
                <w:b/>
                <w:color w:val="000000"/>
                <w:sz w:val="24"/>
                <w:szCs w:val="24"/>
              </w:rPr>
            </w:pPr>
            <w:r>
              <w:rPr>
                <w:rFonts w:hint="eastAsia" w:ascii="仿宋_GB2312" w:hAnsi="仿宋_GB2312" w:cs="仿宋_GB2312"/>
                <w:b/>
                <w:color w:val="000000"/>
                <w:sz w:val="24"/>
                <w:szCs w:val="24"/>
              </w:rPr>
              <w:t>工作岗位</w:t>
            </w:r>
          </w:p>
        </w:tc>
        <w:tc>
          <w:tcPr>
            <w:tcW w:w="1409" w:type="dxa"/>
            <w:tcBorders>
              <w:top w:val="single" w:color="auto" w:sz="12" w:space="0"/>
              <w:left w:val="single" w:color="auto" w:sz="4" w:space="0"/>
              <w:bottom w:val="single" w:color="auto" w:sz="4" w:space="0"/>
              <w:right w:val="single" w:color="auto" w:sz="4" w:space="0"/>
            </w:tcBorders>
            <w:shd w:val="clear" w:color="auto" w:fill="auto"/>
            <w:vAlign w:val="center"/>
          </w:tcPr>
          <w:p w14:paraId="5CF91A3F">
            <w:pPr>
              <w:keepNext w:val="0"/>
              <w:keepLines w:val="0"/>
              <w:widowControl/>
              <w:suppressLineNumbers w:val="0"/>
              <w:spacing w:before="0" w:beforeAutospacing="0" w:after="0" w:afterAutospacing="0" w:line="400" w:lineRule="exact"/>
              <w:ind w:left="0" w:right="0" w:firstLine="0" w:firstLineChars="0"/>
              <w:jc w:val="center"/>
              <w:rPr>
                <w:rFonts w:hint="default" w:ascii="仿宋_GB2312" w:hAnsi="仿宋_GB2312" w:cs="仿宋_GB2312"/>
                <w:b/>
                <w:color w:val="000000"/>
                <w:sz w:val="24"/>
                <w:szCs w:val="24"/>
              </w:rPr>
            </w:pPr>
            <w:r>
              <w:rPr>
                <w:rFonts w:hint="eastAsia" w:ascii="仿宋_GB2312" w:hAnsi="仿宋_GB2312" w:cs="仿宋_GB2312"/>
                <w:b/>
                <w:color w:val="000000"/>
                <w:sz w:val="24"/>
                <w:szCs w:val="24"/>
              </w:rPr>
              <w:t>工作任务</w:t>
            </w:r>
          </w:p>
        </w:tc>
        <w:tc>
          <w:tcPr>
            <w:tcW w:w="1851" w:type="dxa"/>
            <w:tcBorders>
              <w:top w:val="single" w:color="auto" w:sz="12" w:space="0"/>
              <w:left w:val="single" w:color="auto" w:sz="4" w:space="0"/>
              <w:bottom w:val="single" w:color="auto" w:sz="4" w:space="0"/>
              <w:right w:val="single" w:color="auto" w:sz="4" w:space="0"/>
            </w:tcBorders>
            <w:vAlign w:val="center"/>
          </w:tcPr>
          <w:p w14:paraId="681F6BD5">
            <w:pPr>
              <w:keepNext w:val="0"/>
              <w:keepLines w:val="0"/>
              <w:widowControl/>
              <w:suppressLineNumbers w:val="0"/>
              <w:spacing w:before="0" w:beforeAutospacing="0" w:after="0" w:afterAutospacing="0" w:line="400" w:lineRule="exact"/>
              <w:ind w:left="0" w:right="0" w:firstLine="0" w:firstLineChars="0"/>
              <w:jc w:val="center"/>
              <w:rPr>
                <w:rFonts w:hint="default" w:ascii="仿宋_GB2312" w:hAnsi="仿宋_GB2312" w:cs="仿宋_GB2312"/>
                <w:b/>
                <w:color w:val="000000"/>
                <w:sz w:val="24"/>
                <w:szCs w:val="24"/>
              </w:rPr>
            </w:pPr>
            <w:r>
              <w:rPr>
                <w:rFonts w:hint="eastAsia" w:ascii="仿宋_GB2312" w:hAnsi="仿宋_GB2312" w:cs="仿宋_GB2312"/>
                <w:b/>
                <w:color w:val="000000"/>
                <w:sz w:val="24"/>
                <w:szCs w:val="24"/>
              </w:rPr>
              <w:t>工作内容</w:t>
            </w:r>
          </w:p>
        </w:tc>
        <w:tc>
          <w:tcPr>
            <w:tcW w:w="2268" w:type="dxa"/>
            <w:tcBorders>
              <w:top w:val="single" w:color="auto" w:sz="12" w:space="0"/>
              <w:left w:val="single" w:color="auto" w:sz="4" w:space="0"/>
              <w:bottom w:val="single" w:color="auto" w:sz="4" w:space="0"/>
              <w:right w:val="single" w:color="auto" w:sz="4" w:space="0"/>
            </w:tcBorders>
            <w:shd w:val="clear" w:color="auto" w:fill="auto"/>
            <w:vAlign w:val="center"/>
          </w:tcPr>
          <w:p w14:paraId="1446B550">
            <w:pPr>
              <w:keepNext w:val="0"/>
              <w:keepLines w:val="0"/>
              <w:widowControl/>
              <w:suppressLineNumbers w:val="0"/>
              <w:spacing w:before="0" w:beforeAutospacing="0" w:after="0" w:afterAutospacing="0" w:line="400" w:lineRule="exact"/>
              <w:ind w:left="0" w:right="0" w:firstLine="0" w:firstLineChars="0"/>
              <w:jc w:val="center"/>
              <w:rPr>
                <w:rFonts w:hint="default" w:ascii="仿宋_GB2312" w:hAnsi="仿宋_GB2312" w:cs="仿宋_GB2312"/>
                <w:b/>
                <w:color w:val="000000"/>
                <w:sz w:val="24"/>
                <w:szCs w:val="24"/>
              </w:rPr>
            </w:pPr>
            <w:r>
              <w:rPr>
                <w:rFonts w:hint="eastAsia" w:ascii="仿宋_GB2312" w:hAnsi="仿宋_GB2312" w:cs="仿宋_GB2312"/>
                <w:b/>
                <w:color w:val="000000"/>
                <w:sz w:val="24"/>
                <w:szCs w:val="24"/>
              </w:rPr>
              <w:t>技能点</w:t>
            </w:r>
          </w:p>
        </w:tc>
        <w:tc>
          <w:tcPr>
            <w:tcW w:w="2347" w:type="dxa"/>
            <w:tcBorders>
              <w:top w:val="single" w:color="auto" w:sz="12" w:space="0"/>
              <w:left w:val="single" w:color="auto" w:sz="4" w:space="0"/>
              <w:bottom w:val="single" w:color="auto" w:sz="4" w:space="0"/>
              <w:right w:val="single" w:color="auto" w:sz="12" w:space="0"/>
            </w:tcBorders>
            <w:shd w:val="clear" w:color="auto" w:fill="auto"/>
            <w:vAlign w:val="center"/>
          </w:tcPr>
          <w:p w14:paraId="6A7F0362">
            <w:pPr>
              <w:keepNext w:val="0"/>
              <w:keepLines w:val="0"/>
              <w:widowControl/>
              <w:suppressLineNumbers w:val="0"/>
              <w:spacing w:before="0" w:beforeAutospacing="0" w:after="0" w:afterAutospacing="0" w:line="400" w:lineRule="exact"/>
              <w:ind w:left="0" w:right="0" w:firstLine="0" w:firstLineChars="0"/>
              <w:jc w:val="center"/>
              <w:rPr>
                <w:rFonts w:hint="default" w:ascii="仿宋_GB2312" w:hAnsi="仿宋_GB2312" w:cs="仿宋_GB2312"/>
                <w:b/>
                <w:color w:val="000000"/>
                <w:sz w:val="24"/>
                <w:szCs w:val="24"/>
              </w:rPr>
            </w:pPr>
            <w:r>
              <w:rPr>
                <w:rFonts w:hint="eastAsia" w:ascii="仿宋_GB2312" w:hAnsi="仿宋_GB2312" w:cs="仿宋_GB2312"/>
                <w:b/>
                <w:color w:val="000000"/>
                <w:sz w:val="24"/>
                <w:szCs w:val="24"/>
              </w:rPr>
              <w:t>知识点</w:t>
            </w:r>
          </w:p>
        </w:tc>
      </w:tr>
      <w:tr w14:paraId="19917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1277" w:type="dxa"/>
            <w:tcBorders>
              <w:top w:val="single" w:color="auto" w:sz="4" w:space="0"/>
              <w:left w:val="single" w:color="auto" w:sz="12" w:space="0"/>
              <w:right w:val="single" w:color="auto" w:sz="4" w:space="0"/>
            </w:tcBorders>
            <w:shd w:val="clear" w:color="auto" w:fill="auto"/>
            <w:vAlign w:val="center"/>
          </w:tcPr>
          <w:p w14:paraId="0840EF5A">
            <w:pPr>
              <w:keepNext w:val="0"/>
              <w:keepLines w:val="0"/>
              <w:suppressLineNumbers w:val="0"/>
              <w:spacing w:before="0" w:beforeAutospacing="0" w:after="0" w:afterAutospacing="0"/>
              <w:ind w:left="0" w:right="0" w:firstLine="0" w:firstLineChars="0"/>
              <w:jc w:val="center"/>
              <w:rPr>
                <w:rFonts w:hint="default" w:ascii="仿宋_GB2312" w:hAnsi="仿宋_GB2312" w:cs="仿宋_GB2312"/>
                <w:color w:val="000000"/>
                <w:sz w:val="24"/>
                <w:szCs w:val="24"/>
              </w:rPr>
            </w:pPr>
            <w:r>
              <w:rPr>
                <w:rFonts w:hint="default" w:ascii="仿宋_GB2312" w:hAnsi="仿宋_GB2312" w:cs="仿宋_GB2312"/>
                <w:color w:val="000000"/>
                <w:sz w:val="24"/>
                <w:szCs w:val="24"/>
              </w:rPr>
              <w:t>内部控制专员</w:t>
            </w:r>
          </w:p>
          <w:p w14:paraId="0E7FBDF5">
            <w:pPr>
              <w:keepNext w:val="0"/>
              <w:keepLines w:val="0"/>
              <w:suppressLineNumbers w:val="0"/>
              <w:spacing w:before="0" w:beforeAutospacing="0" w:after="0" w:afterAutospacing="0"/>
              <w:ind w:left="0" w:right="0" w:firstLine="0" w:firstLineChars="0"/>
              <w:jc w:val="center"/>
              <w:rPr>
                <w:rFonts w:hint="default" w:ascii="仿宋_GB2312" w:hAnsi="仿宋_GB2312" w:cs="仿宋_GB2312"/>
                <w:color w:val="000000"/>
                <w:sz w:val="24"/>
                <w:szCs w:val="24"/>
              </w:rPr>
            </w:pPr>
          </w:p>
        </w:tc>
        <w:tc>
          <w:tcPr>
            <w:tcW w:w="1409" w:type="dxa"/>
            <w:tcBorders>
              <w:top w:val="single" w:color="auto" w:sz="4" w:space="0"/>
              <w:left w:val="single" w:color="auto" w:sz="4" w:space="0"/>
              <w:right w:val="single" w:color="auto" w:sz="4" w:space="0"/>
            </w:tcBorders>
            <w:shd w:val="clear" w:color="auto" w:fill="auto"/>
            <w:vAlign w:val="center"/>
          </w:tcPr>
          <w:p w14:paraId="54C9FE02">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rPr>
            </w:pPr>
            <w:r>
              <w:rPr>
                <w:rFonts w:hint="eastAsia" w:ascii="仿宋_GB2312" w:hAnsi="Times New Roman" w:cs="Times New Roman"/>
                <w:sz w:val="24"/>
                <w:szCs w:val="24"/>
                <w:lang w:val="en-US" w:eastAsia="zh-CN"/>
              </w:rPr>
              <w:t>1.</w:t>
            </w:r>
            <w:r>
              <w:rPr>
                <w:rFonts w:hint="default" w:ascii="仿宋_GB2312" w:hAnsi="Times New Roman" w:cs="Times New Roman"/>
                <w:sz w:val="24"/>
                <w:szCs w:val="24"/>
              </w:rPr>
              <w:t>熟悉企业内部控制基本规范和相关法律法规。</w:t>
            </w:r>
          </w:p>
          <w:p w14:paraId="7F2A9203">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rPr>
            </w:pPr>
            <w:r>
              <w:rPr>
                <w:rFonts w:hint="eastAsia" w:ascii="仿宋_GB2312" w:hAnsi="Times New Roman" w:cs="Times New Roman"/>
                <w:sz w:val="24"/>
                <w:szCs w:val="24"/>
                <w:lang w:val="en-US" w:eastAsia="zh-CN"/>
              </w:rPr>
              <w:t>2.</w:t>
            </w:r>
            <w:r>
              <w:rPr>
                <w:rFonts w:hint="default" w:ascii="仿宋_GB2312" w:hAnsi="Times New Roman" w:cs="Times New Roman"/>
                <w:sz w:val="24"/>
                <w:szCs w:val="24"/>
              </w:rPr>
              <w:t>具备较强的分析和判断能力，能够发现问题并提出解决方案。</w:t>
            </w:r>
          </w:p>
          <w:p w14:paraId="6C8DC9E0">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rPr>
            </w:pPr>
            <w:r>
              <w:rPr>
                <w:rFonts w:hint="eastAsia" w:ascii="仿宋_GB2312" w:hAnsi="Times New Roman" w:cs="Times New Roman"/>
                <w:sz w:val="24"/>
                <w:szCs w:val="24"/>
                <w:lang w:val="en-US" w:eastAsia="zh-CN"/>
              </w:rPr>
              <w:t>3.</w:t>
            </w:r>
            <w:r>
              <w:rPr>
                <w:rFonts w:hint="default" w:ascii="仿宋_GB2312" w:hAnsi="Times New Roman" w:cs="Times New Roman"/>
                <w:sz w:val="24"/>
                <w:szCs w:val="24"/>
              </w:rPr>
              <w:t>良好的沟通协调能力，能与各部门有效合作。</w:t>
            </w:r>
          </w:p>
          <w:p w14:paraId="1536D801">
            <w:pPr>
              <w:keepNext w:val="0"/>
              <w:keepLines w:val="0"/>
              <w:suppressLineNumbers w:val="0"/>
              <w:spacing w:before="0" w:beforeAutospacing="0" w:after="0" w:afterAutospacing="0"/>
              <w:ind w:left="0" w:right="0" w:firstLine="0" w:firstLineChars="0"/>
              <w:jc w:val="center"/>
              <w:rPr>
                <w:rFonts w:hint="default" w:ascii="仿宋_GB2312" w:hAnsi="仿宋_GB2312" w:cs="仿宋_GB2312"/>
                <w:color w:val="000000"/>
                <w:sz w:val="24"/>
                <w:szCs w:val="24"/>
              </w:rPr>
            </w:pPr>
          </w:p>
        </w:tc>
        <w:tc>
          <w:tcPr>
            <w:tcW w:w="1851" w:type="dxa"/>
            <w:tcBorders>
              <w:top w:val="single" w:color="auto" w:sz="4" w:space="0"/>
              <w:left w:val="single" w:color="auto" w:sz="4" w:space="0"/>
              <w:bottom w:val="single" w:color="auto" w:sz="4" w:space="0"/>
              <w:right w:val="single" w:color="auto" w:sz="4" w:space="0"/>
            </w:tcBorders>
            <w:vAlign w:val="center"/>
          </w:tcPr>
          <w:p w14:paraId="13C13E27">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rPr>
            </w:pPr>
            <w:r>
              <w:rPr>
                <w:rFonts w:hint="eastAsia" w:ascii="仿宋_GB2312" w:hAnsi="仿宋"/>
                <w:sz w:val="24"/>
                <w:szCs w:val="24"/>
              </w:rPr>
              <w:t>1</w:t>
            </w:r>
            <w:r>
              <w:rPr>
                <w:rFonts w:hint="eastAsia" w:ascii="仿宋_GB2312" w:hAnsi="Times New Roman" w:cs="Times New Roman"/>
                <w:sz w:val="24"/>
                <w:szCs w:val="24"/>
              </w:rPr>
              <w:t>. 熟悉企业内部控制基本规范和相关法律法规​</w:t>
            </w:r>
          </w:p>
          <w:p w14:paraId="06014444">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rPr>
            </w:pPr>
            <w:r>
              <w:rPr>
                <w:rFonts w:hint="eastAsia" w:ascii="仿宋_GB2312" w:hAnsi="Times New Roman" w:cs="Times New Roman"/>
                <w:sz w:val="24"/>
                <w:szCs w:val="24"/>
                <w:lang w:eastAsia="zh-CN"/>
              </w:rPr>
              <w:t>（</w:t>
            </w:r>
            <w:r>
              <w:rPr>
                <w:rFonts w:hint="eastAsia" w:ascii="仿宋_GB2312" w:hAnsi="Times New Roman" w:cs="Times New Roman"/>
                <w:sz w:val="24"/>
                <w:szCs w:val="24"/>
                <w:lang w:val="en-US" w:eastAsia="zh-CN"/>
              </w:rPr>
              <w:t>1</w:t>
            </w:r>
            <w:r>
              <w:rPr>
                <w:rFonts w:hint="eastAsia" w:ascii="仿宋_GB2312" w:hAnsi="Times New Roman" w:cs="Times New Roman"/>
                <w:sz w:val="24"/>
                <w:szCs w:val="24"/>
                <w:lang w:eastAsia="zh-CN"/>
              </w:rPr>
              <w:t>）</w:t>
            </w:r>
            <w:r>
              <w:rPr>
                <w:rFonts w:hint="eastAsia" w:ascii="仿宋_GB2312" w:hAnsi="Times New Roman" w:cs="Times New Roman"/>
                <w:sz w:val="24"/>
                <w:szCs w:val="24"/>
              </w:rPr>
              <w:t>法规追踪与学习：内部审计师需时刻保持对国内外企业内部控制基本规范、会计准则以及行业特定法规政策的高度关注。订阅权威财经媒体、法规数据库推送，及时掌握法规动态更新。每月至少安排 [X] 小时专门用于深入学习新出台或修订的法规条文，剖析其对企业业务流程和内部控制体系的潜在影响。同时，积极参加行业组织的法规解读研讨会、线上培训课程，与同行交流学习心得，确保自身知识体系的时效性和完整性。​</w:t>
            </w:r>
          </w:p>
          <w:p w14:paraId="16A333DD">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rPr>
            </w:pPr>
            <w:r>
              <w:rPr>
                <w:rFonts w:hint="eastAsia" w:ascii="仿宋_GB2312" w:hAnsi="Times New Roman" w:cs="Times New Roman"/>
                <w:sz w:val="24"/>
                <w:szCs w:val="24"/>
                <w:lang w:eastAsia="zh-CN"/>
              </w:rPr>
              <w:t>（</w:t>
            </w:r>
            <w:r>
              <w:rPr>
                <w:rFonts w:hint="eastAsia" w:ascii="仿宋_GB2312" w:hAnsi="Times New Roman" w:cs="Times New Roman"/>
                <w:sz w:val="24"/>
                <w:szCs w:val="24"/>
                <w:lang w:val="en-US" w:eastAsia="zh-CN"/>
              </w:rPr>
              <w:t>2</w:t>
            </w:r>
            <w:r>
              <w:rPr>
                <w:rFonts w:hint="eastAsia" w:ascii="仿宋_GB2312" w:hAnsi="Times New Roman" w:cs="Times New Roman"/>
                <w:sz w:val="24"/>
                <w:szCs w:val="24"/>
                <w:lang w:eastAsia="zh-CN"/>
              </w:rPr>
              <w:t>）</w:t>
            </w:r>
            <w:r>
              <w:rPr>
                <w:rFonts w:hint="eastAsia" w:ascii="仿宋_GB2312" w:hAnsi="Times New Roman" w:cs="Times New Roman"/>
                <w:sz w:val="24"/>
                <w:szCs w:val="24"/>
              </w:rPr>
              <w:t>内部宣贯与培训：将所学的内部控制规范和法律法规知识在企业内部进行广泛传播。每季度组织一次面向全体员工的法规培训讲座，采用实际案例分析、互动问答等生动形式，提升员工的合规意识。针对财务、采购、销售等关键业务部门，开展定制化的内部控制规范培训，详细讲解各业务环节在法规框架下的操作要点和风险防范措施。协助各部门制定内部合规手册，将法规要求细化为具体的工作指引，方便员工日常查阅和遵循。​</w:t>
            </w:r>
          </w:p>
          <w:p w14:paraId="4C11A441">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rPr>
            </w:pPr>
            <w:r>
              <w:rPr>
                <w:rFonts w:hint="eastAsia" w:ascii="仿宋_GB2312" w:hAnsi="Times New Roman" w:cs="Times New Roman"/>
                <w:sz w:val="24"/>
                <w:szCs w:val="24"/>
                <w:lang w:eastAsia="zh-CN"/>
              </w:rPr>
              <w:t>（</w:t>
            </w:r>
            <w:r>
              <w:rPr>
                <w:rFonts w:hint="eastAsia" w:ascii="仿宋_GB2312" w:hAnsi="Times New Roman" w:cs="Times New Roman"/>
                <w:sz w:val="24"/>
                <w:szCs w:val="24"/>
                <w:lang w:val="en-US" w:eastAsia="zh-CN"/>
              </w:rPr>
              <w:t>3</w:t>
            </w:r>
            <w:r>
              <w:rPr>
                <w:rFonts w:hint="eastAsia" w:ascii="仿宋_GB2312" w:hAnsi="Times New Roman" w:cs="Times New Roman"/>
                <w:sz w:val="24"/>
                <w:szCs w:val="24"/>
                <w:lang w:eastAsia="zh-CN"/>
              </w:rPr>
              <w:t>）</w:t>
            </w:r>
            <w:r>
              <w:rPr>
                <w:rFonts w:hint="eastAsia" w:ascii="仿宋_GB2312" w:hAnsi="Times New Roman" w:cs="Times New Roman"/>
                <w:sz w:val="24"/>
                <w:szCs w:val="24"/>
              </w:rPr>
              <w:t>合规审查与评估：在日常审计工作中，严格依据内部控制基本规范和相关法律法规对企业各项业务活动进行审查。从合同签订、财务报销、项目审批等基础流程入手，逐一核对是否符合法规规定的程序和标准。定期对企业的内部控制体系进行全面评估，识别现有制度与法规要求之间的差距，提出针对性的优化建议，确保企业运营始终在合法合规的轨道上运行。例如，在对企业采购流程的审计中，重点审查是否遵循《政府采购法》及企业内部采购管理规定，对发现的违规操作及时纠正并督促整改。​</w:t>
            </w:r>
          </w:p>
          <w:p w14:paraId="4C5835A1">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rPr>
            </w:pPr>
            <w:r>
              <w:rPr>
                <w:rFonts w:hint="eastAsia" w:ascii="仿宋_GB2312" w:hAnsi="Times New Roman" w:cs="Times New Roman"/>
                <w:sz w:val="24"/>
                <w:szCs w:val="24"/>
              </w:rPr>
              <w:t>2. 具备较强的分析和判断能力，能够发现问题并提出解决方案​</w:t>
            </w:r>
          </w:p>
          <w:p w14:paraId="6A7C2B9F">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rPr>
            </w:pPr>
            <w:r>
              <w:rPr>
                <w:rFonts w:hint="eastAsia" w:ascii="仿宋_GB2312" w:hAnsi="Times New Roman" w:cs="Times New Roman"/>
                <w:sz w:val="24"/>
                <w:szCs w:val="24"/>
                <w:lang w:eastAsia="zh-CN"/>
              </w:rPr>
              <w:t>（</w:t>
            </w:r>
            <w:r>
              <w:rPr>
                <w:rFonts w:hint="eastAsia" w:ascii="仿宋_GB2312" w:hAnsi="Times New Roman" w:cs="Times New Roman"/>
                <w:sz w:val="24"/>
                <w:szCs w:val="24"/>
                <w:lang w:val="en-US" w:eastAsia="zh-CN"/>
              </w:rPr>
              <w:t>1</w:t>
            </w:r>
            <w:r>
              <w:rPr>
                <w:rFonts w:hint="eastAsia" w:ascii="仿宋_GB2312" w:hAnsi="Times New Roman" w:cs="Times New Roman"/>
                <w:sz w:val="24"/>
                <w:szCs w:val="24"/>
                <w:lang w:eastAsia="zh-CN"/>
              </w:rPr>
              <w:t>）</w:t>
            </w:r>
            <w:r>
              <w:rPr>
                <w:rFonts w:hint="eastAsia" w:ascii="仿宋_GB2312" w:hAnsi="Times New Roman" w:cs="Times New Roman"/>
                <w:sz w:val="24"/>
                <w:szCs w:val="24"/>
              </w:rPr>
              <w:t>数据挖掘与分析：面对海量的企业运营数据，内部审计师熟练运用数据分析工具，如 Excel 高级函数、SQL 数据库查询语言、专业审计分析软件等，对财务数据、业务报表、流程日志等进行深度挖掘。通过设定合理的分析维度和指标，如成本变动率、销售毛利率、流程效率指标等，从数据波动中发现异常趋势和潜在问题线索。例如，在分析企业月度财务报表时，通过对比不同期间的费用明细数据，发现某类销售费用出现持续大幅增长，进而深入调查其背后可能存在的销售政策不合理或费用报销违规等问题。​</w:t>
            </w:r>
          </w:p>
          <w:p w14:paraId="5CD5D9F4">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rPr>
            </w:pPr>
            <w:r>
              <w:rPr>
                <w:rFonts w:hint="eastAsia" w:ascii="仿宋_GB2312" w:hAnsi="Times New Roman" w:cs="Times New Roman"/>
                <w:sz w:val="24"/>
                <w:szCs w:val="24"/>
                <w:lang w:eastAsia="zh-CN"/>
              </w:rPr>
              <w:t>（</w:t>
            </w:r>
            <w:r>
              <w:rPr>
                <w:rFonts w:hint="eastAsia" w:ascii="仿宋_GB2312" w:hAnsi="Times New Roman" w:cs="Times New Roman"/>
                <w:sz w:val="24"/>
                <w:szCs w:val="24"/>
                <w:lang w:val="en-US" w:eastAsia="zh-CN"/>
              </w:rPr>
              <w:t>2</w:t>
            </w:r>
            <w:r>
              <w:rPr>
                <w:rFonts w:hint="eastAsia" w:ascii="仿宋_GB2312" w:hAnsi="Times New Roman" w:cs="Times New Roman"/>
                <w:sz w:val="24"/>
                <w:szCs w:val="24"/>
                <w:lang w:eastAsia="zh-CN"/>
              </w:rPr>
              <w:t>）</w:t>
            </w:r>
            <w:r>
              <w:rPr>
                <w:rFonts w:hint="eastAsia" w:ascii="仿宋_GB2312" w:hAnsi="Times New Roman" w:cs="Times New Roman"/>
                <w:sz w:val="24"/>
                <w:szCs w:val="24"/>
              </w:rPr>
              <w:t>问题诊断与剖析：一旦发现问题线索，运用系统性的思维方法进行深入诊断。从人员、流程、制度、技术等多个层面分析问题产生的根源。组织跨部门会议，与相关业务人员进行详细沟通，收集各方信息，全面了解问题的背景和实际情况。对于复杂问题，绘制鱼骨图、流程图等工具辅助分析，梳理问题的因果关系和影响路径。例如，针对生产部门产品次品率升高的问题，通过与生产工人、设备维护人员、质量检测部门沟通，结合生产流程分析，确定是由于设备老化未及时维护、新员工操作培训不足以及质量检测标准执行不严格等多因素共同导致。​</w:t>
            </w:r>
          </w:p>
          <w:p w14:paraId="31E99F68">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rPr>
            </w:pPr>
            <w:r>
              <w:rPr>
                <w:rFonts w:hint="eastAsia" w:ascii="仿宋_GB2312" w:hAnsi="Times New Roman" w:cs="Times New Roman"/>
                <w:sz w:val="24"/>
                <w:szCs w:val="24"/>
                <w:lang w:eastAsia="zh-CN"/>
              </w:rPr>
              <w:t>（</w:t>
            </w:r>
            <w:r>
              <w:rPr>
                <w:rFonts w:hint="eastAsia" w:ascii="仿宋_GB2312" w:hAnsi="Times New Roman" w:cs="Times New Roman"/>
                <w:sz w:val="24"/>
                <w:szCs w:val="24"/>
                <w:lang w:val="en-US" w:eastAsia="zh-CN"/>
              </w:rPr>
              <w:t>3</w:t>
            </w:r>
            <w:r>
              <w:rPr>
                <w:rFonts w:hint="eastAsia" w:ascii="仿宋_GB2312" w:hAnsi="Times New Roman" w:cs="Times New Roman"/>
                <w:sz w:val="24"/>
                <w:szCs w:val="24"/>
                <w:lang w:eastAsia="zh-CN"/>
              </w:rPr>
              <w:t>）</w:t>
            </w:r>
            <w:r>
              <w:rPr>
                <w:rFonts w:hint="eastAsia" w:ascii="仿宋_GB2312" w:hAnsi="Times New Roman" w:cs="Times New Roman"/>
                <w:sz w:val="24"/>
                <w:szCs w:val="24"/>
              </w:rPr>
              <w:t>方案制定与验证：根据问题诊断结果，提出切实可行的解决方案。方案不仅要着眼于解决当前问题，还要考虑如何建立长效机制，预防类似问题再次发生。对于短期可解决的问题，制定明确的整改步骤和时间节点，明确责任部门和责任人；对于涉及长期战略调整或制度变革的问题，提出详细的规划和实施路线图。在方案实施前，进行充分的可行性验证，评估方案可能带来的风险和收益。</w:t>
            </w:r>
          </w:p>
          <w:p w14:paraId="617D94AA">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rPr>
            </w:pPr>
            <w:r>
              <w:rPr>
                <w:rFonts w:hint="eastAsia" w:ascii="仿宋_GB2312" w:hAnsi="Times New Roman" w:cs="Times New Roman"/>
                <w:sz w:val="24"/>
                <w:szCs w:val="24"/>
              </w:rPr>
              <w:t>3. 良好的沟通协调能力，能与各部门有效合作​</w:t>
            </w:r>
          </w:p>
          <w:p w14:paraId="2A6C5995">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rPr>
            </w:pPr>
            <w:r>
              <w:rPr>
                <w:rFonts w:hint="eastAsia" w:ascii="仿宋_GB2312" w:hAnsi="Times New Roman" w:cs="Times New Roman"/>
                <w:sz w:val="24"/>
                <w:szCs w:val="24"/>
                <w:lang w:eastAsia="zh-CN"/>
              </w:rPr>
              <w:t>（</w:t>
            </w:r>
            <w:r>
              <w:rPr>
                <w:rFonts w:hint="eastAsia" w:ascii="仿宋_GB2312" w:hAnsi="Times New Roman" w:cs="Times New Roman"/>
                <w:sz w:val="24"/>
                <w:szCs w:val="24"/>
                <w:lang w:val="en-US" w:eastAsia="zh-CN"/>
              </w:rPr>
              <w:t>1</w:t>
            </w:r>
            <w:r>
              <w:rPr>
                <w:rFonts w:hint="eastAsia" w:ascii="仿宋_GB2312" w:hAnsi="Times New Roman" w:cs="Times New Roman"/>
                <w:sz w:val="24"/>
                <w:szCs w:val="24"/>
                <w:lang w:eastAsia="zh-CN"/>
              </w:rPr>
              <w:t>）</w:t>
            </w:r>
            <w:r>
              <w:rPr>
                <w:rFonts w:hint="eastAsia" w:ascii="仿宋_GB2312" w:hAnsi="Times New Roman" w:cs="Times New Roman"/>
                <w:sz w:val="24"/>
                <w:szCs w:val="24"/>
              </w:rPr>
              <w:t>沟通渠道搭建：内部审计师积极主动与企业各部门建立多元化的沟通渠道。定期组织跨部门沟通会议，会议形式不拘一格，可采用正式的工作汇报会、轻松的头脑风暴会或线上视频会议等，根据沟通内容和目的灵活选择。利用即时通讯工具、企业内部社交平台等建立日常沟通群组，方便及时交流工作信息和问题。同时，主动与各部门负责人建立一对一的定期沟通机制，每月至少进行一次面对面交流，深入了解部门业务情况和潜在风险，增进彼此信任和理解。​</w:t>
            </w:r>
          </w:p>
          <w:p w14:paraId="593C9585">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rPr>
            </w:pPr>
            <w:r>
              <w:rPr>
                <w:rFonts w:hint="eastAsia" w:ascii="仿宋_GB2312" w:hAnsi="Times New Roman" w:cs="Times New Roman"/>
                <w:sz w:val="24"/>
                <w:szCs w:val="24"/>
                <w:lang w:eastAsia="zh-CN"/>
              </w:rPr>
              <w:t>（</w:t>
            </w:r>
            <w:r>
              <w:rPr>
                <w:rFonts w:hint="eastAsia" w:ascii="仿宋_GB2312" w:hAnsi="Times New Roman" w:cs="Times New Roman"/>
                <w:sz w:val="24"/>
                <w:szCs w:val="24"/>
                <w:lang w:val="en-US" w:eastAsia="zh-CN"/>
              </w:rPr>
              <w:t>2</w:t>
            </w:r>
            <w:r>
              <w:rPr>
                <w:rFonts w:hint="eastAsia" w:ascii="仿宋_GB2312" w:hAnsi="Times New Roman" w:cs="Times New Roman"/>
                <w:sz w:val="24"/>
                <w:szCs w:val="24"/>
                <w:lang w:eastAsia="zh-CN"/>
              </w:rPr>
              <w:t>）</w:t>
            </w:r>
            <w:r>
              <w:rPr>
                <w:rFonts w:hint="eastAsia" w:ascii="仿宋_GB2312" w:hAnsi="Times New Roman" w:cs="Times New Roman"/>
                <w:sz w:val="24"/>
                <w:szCs w:val="24"/>
              </w:rPr>
              <w:t>审计项目协作：在开展审计项目过程中，与各被审计部门密切协作。在项目启动阶段，向被审计部门详细介绍审计目的、范围、流程和时间安排，解答其疑问，争取对方的支持与配合。审计过程中，及时与相关人员沟通审计发现的问题，听取他们的解释和意见，确保审计证据的准确性和客观性。对于需要其他部门提供数据或协助调查的事项，通过规范的沟通流程和礼貌的沟通方式，高效获取所需资源。​</w:t>
            </w:r>
          </w:p>
          <w:p w14:paraId="7248295B">
            <w:pPr>
              <w:keepNext w:val="0"/>
              <w:keepLines w:val="0"/>
              <w:suppressLineNumbers w:val="0"/>
              <w:spacing w:before="0" w:beforeAutospacing="0" w:after="0" w:afterAutospacing="0" w:line="240" w:lineRule="auto"/>
              <w:ind w:left="0" w:right="0" w:firstLine="0" w:firstLineChars="0"/>
              <w:rPr>
                <w:rFonts w:hint="default" w:ascii="仿宋_GB2312" w:hAnsi="仿宋"/>
                <w:sz w:val="24"/>
                <w:szCs w:val="24"/>
              </w:rPr>
            </w:pPr>
            <w:r>
              <w:rPr>
                <w:rFonts w:hint="eastAsia" w:ascii="仿宋_GB2312" w:hAnsi="Times New Roman" w:cs="Times New Roman"/>
                <w:sz w:val="24"/>
                <w:szCs w:val="24"/>
                <w:lang w:eastAsia="zh-CN"/>
              </w:rPr>
              <w:t>（</w:t>
            </w:r>
            <w:r>
              <w:rPr>
                <w:rFonts w:hint="eastAsia" w:ascii="仿宋_GB2312" w:hAnsi="Times New Roman" w:cs="Times New Roman"/>
                <w:sz w:val="24"/>
                <w:szCs w:val="24"/>
                <w:lang w:val="en-US" w:eastAsia="zh-CN"/>
              </w:rPr>
              <w:t>3</w:t>
            </w:r>
            <w:r>
              <w:rPr>
                <w:rFonts w:hint="eastAsia" w:ascii="仿宋_GB2312" w:hAnsi="Times New Roman" w:cs="Times New Roman"/>
                <w:sz w:val="24"/>
                <w:szCs w:val="24"/>
                <w:lang w:eastAsia="zh-CN"/>
              </w:rPr>
              <w:t>）</w:t>
            </w:r>
            <w:r>
              <w:rPr>
                <w:rFonts w:hint="eastAsia" w:ascii="仿宋_GB2312" w:hAnsi="Times New Roman" w:cs="Times New Roman"/>
                <w:sz w:val="24"/>
                <w:szCs w:val="24"/>
              </w:rPr>
              <w:t>问题解决协调：当审计发现问题需要整改时，发挥沟通协调的桥梁作用。组织召开问题整改协调会，将涉及问题整改的多个部门聚集在一起，明确各部门在整改工作中的职责和任务。协调解决部门之间在整改过程中出现的意见分歧和资源冲突。定期跟踪整改工作进展，及时向管理层汇报，对于整改不力的部门，通过有效的沟通方式督促其加快整改进度。</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14:paraId="51C0B2D2">
            <w:pPr>
              <w:pStyle w:val="28"/>
              <w:keepNext w:val="0"/>
              <w:keepLines w:val="0"/>
              <w:suppressLineNumbers w:val="0"/>
              <w:tabs>
                <w:tab w:val="left" w:pos="312"/>
                <w:tab w:val="left" w:pos="548"/>
              </w:tabs>
              <w:spacing w:before="2" w:beforeAutospacing="0" w:after="0" w:afterAutospacing="0"/>
              <w:ind w:left="0" w:right="0"/>
              <w:rPr>
                <w:rFonts w:hint="default" w:ascii="仿宋_GB2312" w:eastAsia="仿宋_GB2312"/>
                <w:sz w:val="24"/>
                <w:szCs w:val="24"/>
              </w:rPr>
            </w:pPr>
            <w:r>
              <w:rPr>
                <w:rFonts w:hint="eastAsia" w:ascii="仿宋_GB2312" w:eastAsia="仿宋_GB2312"/>
                <w:sz w:val="24"/>
                <w:szCs w:val="24"/>
                <w:lang w:val="en-US" w:eastAsia="zh-CN"/>
              </w:rPr>
              <w:t>1.</w:t>
            </w:r>
            <w:r>
              <w:rPr>
                <w:rFonts w:hint="default" w:ascii="仿宋_GB2312" w:eastAsia="仿宋_GB2312"/>
                <w:sz w:val="24"/>
                <w:szCs w:val="24"/>
              </w:rPr>
              <w:t>流程梳理技能：能够运用流程绘制工具，清晰地梳理企业各项业务流程，明确流程中的关键环节、控制点和风险点。例如，使用 Visio 等软件绘制采购流程、销售流程等，通过流程优化提高运营效率，降低风险。</w:t>
            </w:r>
          </w:p>
          <w:p w14:paraId="3665DF03">
            <w:pPr>
              <w:pStyle w:val="28"/>
              <w:keepNext w:val="0"/>
              <w:keepLines w:val="0"/>
              <w:suppressLineNumbers w:val="0"/>
              <w:tabs>
                <w:tab w:val="left" w:pos="312"/>
                <w:tab w:val="left" w:pos="548"/>
              </w:tabs>
              <w:spacing w:before="2" w:beforeAutospacing="0" w:after="0" w:afterAutospacing="0"/>
              <w:ind w:left="0" w:right="0"/>
              <w:rPr>
                <w:rFonts w:hint="default" w:ascii="仿宋_GB2312" w:eastAsia="仿宋_GB2312"/>
                <w:sz w:val="24"/>
                <w:szCs w:val="24"/>
              </w:rPr>
            </w:pPr>
            <w:r>
              <w:rPr>
                <w:rFonts w:hint="eastAsia" w:ascii="仿宋_GB2312" w:eastAsia="仿宋_GB2312"/>
                <w:sz w:val="24"/>
                <w:szCs w:val="24"/>
                <w:lang w:val="en-US" w:eastAsia="zh-CN"/>
              </w:rPr>
              <w:t>2.</w:t>
            </w:r>
            <w:r>
              <w:rPr>
                <w:rFonts w:hint="default" w:ascii="仿宋_GB2312" w:eastAsia="仿宋_GB2312"/>
                <w:sz w:val="24"/>
                <w:szCs w:val="24"/>
              </w:rPr>
              <w:t>风险评估技能：掌握风险评估的方法和技术，如风险矩阵、情景分析等，能够对企业面临的各类风险进行识别、评估和排序。以财务风险为例，通过分析财务报表数据，结合市场环境和行业趋势，评估企业的偿债能力、盈利能力和营运能力等方面的风险水平。</w:t>
            </w:r>
          </w:p>
          <w:p w14:paraId="301A804C">
            <w:pPr>
              <w:pStyle w:val="28"/>
              <w:keepNext w:val="0"/>
              <w:keepLines w:val="0"/>
              <w:suppressLineNumbers w:val="0"/>
              <w:tabs>
                <w:tab w:val="left" w:pos="312"/>
                <w:tab w:val="left" w:pos="548"/>
              </w:tabs>
              <w:spacing w:before="2" w:beforeAutospacing="0" w:after="0" w:afterAutospacing="0"/>
              <w:ind w:left="0" w:right="0"/>
              <w:rPr>
                <w:rFonts w:hint="default" w:ascii="仿宋_GB2312" w:eastAsia="仿宋_GB2312"/>
                <w:sz w:val="24"/>
                <w:szCs w:val="24"/>
              </w:rPr>
            </w:pPr>
            <w:r>
              <w:rPr>
                <w:rFonts w:hint="eastAsia" w:ascii="仿宋_GB2312" w:eastAsia="仿宋_GB2312"/>
                <w:sz w:val="24"/>
                <w:szCs w:val="24"/>
                <w:lang w:val="en-US" w:eastAsia="zh-CN"/>
              </w:rPr>
              <w:t>3.</w:t>
            </w:r>
            <w:r>
              <w:rPr>
                <w:rFonts w:hint="default" w:ascii="仿宋_GB2312" w:eastAsia="仿宋_GB2312"/>
                <w:sz w:val="24"/>
                <w:szCs w:val="24"/>
              </w:rPr>
              <w:t>文档编制与管理技能：具备良好的文档编制能力，能够撰写规范的内部控制制度、流程手册、审计报告等文件。同时，要熟练使用文档管理工具，对各类内部控制相关文件进行分类、归档和保管，确保文件的完整性和可查阅性。</w:t>
            </w:r>
          </w:p>
          <w:p w14:paraId="113D306A">
            <w:pPr>
              <w:pStyle w:val="28"/>
              <w:keepNext w:val="0"/>
              <w:keepLines w:val="0"/>
              <w:suppressLineNumbers w:val="0"/>
              <w:tabs>
                <w:tab w:val="left" w:pos="312"/>
                <w:tab w:val="left" w:pos="548"/>
              </w:tabs>
              <w:spacing w:before="2" w:beforeAutospacing="0" w:after="0" w:afterAutospacing="0"/>
              <w:ind w:left="0" w:right="0"/>
              <w:rPr>
                <w:rFonts w:hint="default" w:ascii="仿宋_GB2312" w:eastAsia="仿宋_GB2312"/>
                <w:sz w:val="24"/>
                <w:szCs w:val="24"/>
              </w:rPr>
            </w:pPr>
            <w:r>
              <w:rPr>
                <w:rFonts w:hint="eastAsia" w:ascii="仿宋_GB2312" w:eastAsia="仿宋_GB2312"/>
                <w:sz w:val="24"/>
                <w:szCs w:val="24"/>
                <w:lang w:val="en-US" w:eastAsia="zh-CN"/>
              </w:rPr>
              <w:t>4.</w:t>
            </w:r>
            <w:r>
              <w:rPr>
                <w:rFonts w:hint="default" w:ascii="仿宋_GB2312" w:eastAsia="仿宋_GB2312"/>
                <w:sz w:val="24"/>
                <w:szCs w:val="24"/>
              </w:rPr>
              <w:t>数据分析技能：熟练运用数据分析工具，如 Excel、Python 等，对企业的业务数据进行收集、整理和分析。通过数据分析发现内部控制中的异常情况和潜在问题，为内部控制的优化提供数据支持。例如，通过分析销售数据，发现某些地区或客户的销售异常波动，进而调查是否存在内部控制漏洞。</w:t>
            </w:r>
          </w:p>
          <w:p w14:paraId="48DAC0EB">
            <w:pPr>
              <w:pStyle w:val="28"/>
              <w:keepNext w:val="0"/>
              <w:keepLines w:val="0"/>
              <w:suppressLineNumbers w:val="0"/>
              <w:tabs>
                <w:tab w:val="left" w:pos="312"/>
                <w:tab w:val="left" w:pos="548"/>
              </w:tabs>
              <w:spacing w:before="2" w:beforeAutospacing="0" w:after="0" w:afterAutospacing="0"/>
              <w:ind w:left="0" w:right="0"/>
              <w:rPr>
                <w:rFonts w:hint="default" w:ascii="仿宋_GB2312" w:eastAsia="仿宋_GB2312"/>
                <w:sz w:val="24"/>
                <w:szCs w:val="24"/>
              </w:rPr>
            </w:pPr>
            <w:r>
              <w:rPr>
                <w:rFonts w:hint="eastAsia" w:ascii="仿宋_GB2312" w:eastAsia="仿宋_GB2312"/>
                <w:sz w:val="24"/>
                <w:szCs w:val="24"/>
                <w:lang w:val="en-US" w:eastAsia="zh-CN"/>
              </w:rPr>
              <w:t>5.</w:t>
            </w:r>
            <w:r>
              <w:rPr>
                <w:rFonts w:hint="default" w:ascii="仿宋_GB2312" w:eastAsia="仿宋_GB2312"/>
                <w:sz w:val="24"/>
                <w:szCs w:val="24"/>
              </w:rPr>
              <w:t>沟通协调技能：作为内部控制专员，需要与企业内部各部门进行沟通协调。具备良好的口头和书面沟通能力，能够清晰地表达内部控制的要求和意见，同时也能倾听各部门的反馈和建议。在推动内部控制项目实施过程中，能够有效地协调各方资源，解决沟通障碍和冲突。</w:t>
            </w:r>
          </w:p>
          <w:p w14:paraId="6FAA918F">
            <w:pPr>
              <w:pStyle w:val="28"/>
              <w:keepNext w:val="0"/>
              <w:keepLines w:val="0"/>
              <w:suppressLineNumbers w:val="0"/>
              <w:tabs>
                <w:tab w:val="left" w:pos="312"/>
                <w:tab w:val="left" w:pos="548"/>
              </w:tabs>
              <w:spacing w:before="2" w:beforeAutospacing="0" w:after="0" w:afterAutospacing="0"/>
              <w:ind w:left="0" w:right="0"/>
              <w:rPr>
                <w:rFonts w:hint="default" w:ascii="仿宋_GB2312" w:eastAsia="仿宋_GB2312"/>
                <w:sz w:val="24"/>
                <w:szCs w:val="24"/>
              </w:rPr>
            </w:pPr>
          </w:p>
        </w:tc>
        <w:tc>
          <w:tcPr>
            <w:tcW w:w="2347" w:type="dxa"/>
            <w:tcBorders>
              <w:top w:val="single" w:color="auto" w:sz="4" w:space="0"/>
              <w:left w:val="single" w:color="auto" w:sz="4" w:space="0"/>
              <w:bottom w:val="single" w:color="auto" w:sz="4" w:space="0"/>
              <w:right w:val="single" w:color="auto" w:sz="12" w:space="0"/>
            </w:tcBorders>
            <w:shd w:val="clear" w:color="auto" w:fill="auto"/>
            <w:vAlign w:val="center"/>
          </w:tcPr>
          <w:p w14:paraId="3511410C">
            <w:pPr>
              <w:pStyle w:val="27"/>
              <w:keepNext w:val="0"/>
              <w:keepLines w:val="0"/>
              <w:numPr>
                <w:ilvl w:val="0"/>
                <w:numId w:val="6"/>
              </w:numPr>
              <w:suppressLineNumbers w:val="0"/>
              <w:spacing w:before="0" w:beforeAutospacing="0" w:after="0" w:afterAutospacing="0" w:line="240" w:lineRule="auto"/>
              <w:ind w:left="0" w:right="0" w:firstLine="0" w:firstLineChars="0"/>
              <w:jc w:val="left"/>
              <w:rPr>
                <w:rFonts w:hint="default" w:ascii="仿宋_GB2312" w:hAnsi="Times New Roman" w:eastAsia="仿宋_GB2312"/>
                <w:sz w:val="24"/>
                <w:szCs w:val="24"/>
              </w:rPr>
            </w:pPr>
            <w:r>
              <w:rPr>
                <w:rFonts w:hint="default" w:ascii="仿宋_GB2312" w:hAnsi="Times New Roman" w:eastAsia="仿宋_GB2312"/>
                <w:sz w:val="24"/>
                <w:szCs w:val="24"/>
              </w:rPr>
              <w:t>内部控制知识：深入了解内部控制的基本理论、框架和方法，熟悉 COSO 内部控制框架、企业内部控制基本规范等相关标准和指南。掌握内部控制的五大要素，即内部环境、风险评估、控制活动、信息与沟通、内部监督，以及如何通过优化这五大要素来提升企业的内部控制水平。</w:t>
            </w:r>
          </w:p>
          <w:p w14:paraId="40F70B2F">
            <w:pPr>
              <w:pStyle w:val="27"/>
              <w:keepNext w:val="0"/>
              <w:keepLines w:val="0"/>
              <w:numPr>
                <w:ilvl w:val="0"/>
                <w:numId w:val="6"/>
              </w:numPr>
              <w:suppressLineNumbers w:val="0"/>
              <w:spacing w:before="0" w:beforeAutospacing="0" w:after="0" w:afterAutospacing="0" w:line="240" w:lineRule="auto"/>
              <w:ind w:left="0" w:right="0" w:firstLine="0" w:firstLineChars="0"/>
              <w:jc w:val="left"/>
              <w:rPr>
                <w:rFonts w:hint="default" w:ascii="仿宋_GB2312" w:hAnsi="Times New Roman" w:eastAsia="仿宋_GB2312"/>
                <w:sz w:val="24"/>
                <w:szCs w:val="24"/>
              </w:rPr>
            </w:pPr>
            <w:r>
              <w:rPr>
                <w:rFonts w:hint="default" w:ascii="仿宋_GB2312" w:hAnsi="Times New Roman" w:eastAsia="仿宋_GB2312"/>
                <w:sz w:val="24"/>
                <w:szCs w:val="24"/>
              </w:rPr>
              <w:t>法律法规知识：熟悉与企业内部控制相关的法律法规，如公司法、证券法、会计法、审计法等。了解这些法律法规对企业内部控制的要求和规定，确保企业的内部控制制度和执行符合法律规范，避免违法违规风险。</w:t>
            </w:r>
          </w:p>
          <w:p w14:paraId="38A145EA">
            <w:pPr>
              <w:pStyle w:val="27"/>
              <w:keepNext w:val="0"/>
              <w:keepLines w:val="0"/>
              <w:numPr>
                <w:ilvl w:val="0"/>
                <w:numId w:val="6"/>
              </w:numPr>
              <w:suppressLineNumbers w:val="0"/>
              <w:spacing w:before="0" w:beforeAutospacing="0" w:after="0" w:afterAutospacing="0" w:line="240" w:lineRule="auto"/>
              <w:ind w:left="0" w:right="0" w:firstLine="0" w:firstLineChars="0"/>
              <w:jc w:val="left"/>
              <w:rPr>
                <w:rFonts w:hint="default" w:ascii="仿宋_GB2312" w:hAnsi="Times New Roman" w:eastAsia="仿宋_GB2312"/>
                <w:sz w:val="24"/>
                <w:szCs w:val="24"/>
              </w:rPr>
            </w:pPr>
            <w:r>
              <w:rPr>
                <w:rFonts w:hint="default" w:ascii="仿宋_GB2312" w:hAnsi="Times New Roman" w:eastAsia="仿宋_GB2312"/>
                <w:sz w:val="24"/>
                <w:szCs w:val="24"/>
              </w:rPr>
              <w:t>企业管理知识：具备一定的企业管理知识，包括财务管理、人力资源管理、运营管理等方面。了解企业的整体运营模式和管理流程，以便更好地将内部控制与企业的日常管理相结合，为企业的战略目标实现提供支持。</w:t>
            </w:r>
          </w:p>
          <w:p w14:paraId="1A1E33DE">
            <w:pPr>
              <w:pStyle w:val="27"/>
              <w:keepNext w:val="0"/>
              <w:keepLines w:val="0"/>
              <w:numPr>
                <w:ilvl w:val="0"/>
                <w:numId w:val="6"/>
              </w:numPr>
              <w:suppressLineNumbers w:val="0"/>
              <w:spacing w:before="0" w:beforeAutospacing="0" w:after="0" w:afterAutospacing="0" w:line="240" w:lineRule="auto"/>
              <w:ind w:left="0" w:right="0" w:firstLine="0" w:firstLineChars="0"/>
              <w:jc w:val="left"/>
              <w:rPr>
                <w:rFonts w:hint="default" w:ascii="仿宋_GB2312" w:hAnsi="Times New Roman" w:eastAsia="仿宋_GB2312"/>
                <w:sz w:val="24"/>
                <w:szCs w:val="24"/>
              </w:rPr>
            </w:pPr>
            <w:r>
              <w:rPr>
                <w:rFonts w:hint="default" w:ascii="仿宋_GB2312" w:hAnsi="Times New Roman" w:eastAsia="仿宋_GB2312"/>
                <w:sz w:val="24"/>
                <w:szCs w:val="24"/>
              </w:rPr>
              <w:t>审计知识：掌握审计的基本原理和方法，包括内部审计和外部审计。了解审计程序、审计证据收集、审计报告撰写等方面的知识，能够运用审计技能对企业的内部控制进行监督和评价，发现内部控制的缺陷和不足，并提出改进建议。</w:t>
            </w:r>
          </w:p>
          <w:p w14:paraId="4EC1C33D">
            <w:pPr>
              <w:pStyle w:val="27"/>
              <w:keepNext w:val="0"/>
              <w:keepLines w:val="0"/>
              <w:numPr>
                <w:ilvl w:val="0"/>
                <w:numId w:val="6"/>
              </w:numPr>
              <w:suppressLineNumbers w:val="0"/>
              <w:spacing w:before="0" w:beforeAutospacing="0" w:after="0" w:afterAutospacing="0" w:line="240" w:lineRule="auto"/>
              <w:ind w:left="0" w:right="0" w:firstLine="0" w:firstLineChars="0"/>
              <w:jc w:val="left"/>
              <w:rPr>
                <w:rFonts w:hint="default" w:ascii="仿宋_GB2312" w:hAnsi="Times New Roman" w:eastAsia="仿宋_GB2312"/>
                <w:sz w:val="24"/>
                <w:szCs w:val="24"/>
              </w:rPr>
            </w:pPr>
            <w:r>
              <w:rPr>
                <w:rFonts w:hint="default" w:ascii="仿宋_GB2312" w:hAnsi="Times New Roman" w:eastAsia="仿宋_GB2312"/>
                <w:sz w:val="24"/>
                <w:szCs w:val="24"/>
              </w:rPr>
              <w:t>行业知识：了解所在行业的特点、发展趋势和竞争环境。熟悉行业内的主要法律法规、政策标准和业务规范，以便在制定和实施内部控制时，能够结合行业特点，充分考虑行业特定的风险和控制要求，使内部控制更具针对性和有效性。</w:t>
            </w:r>
          </w:p>
          <w:p w14:paraId="222AED82">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Times New Roman" w:eastAsia="仿宋_GB2312"/>
                <w:sz w:val="24"/>
                <w:szCs w:val="24"/>
              </w:rPr>
            </w:pPr>
          </w:p>
        </w:tc>
      </w:tr>
      <w:tr w14:paraId="148FF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1277" w:type="dxa"/>
            <w:tcBorders>
              <w:top w:val="single" w:color="auto" w:sz="4" w:space="0"/>
              <w:left w:val="single" w:color="auto" w:sz="12" w:space="0"/>
              <w:right w:val="single" w:color="auto" w:sz="4" w:space="0"/>
            </w:tcBorders>
            <w:shd w:val="clear" w:color="auto" w:fill="auto"/>
            <w:vAlign w:val="center"/>
          </w:tcPr>
          <w:p w14:paraId="4B6CCB2E">
            <w:pPr>
              <w:keepNext w:val="0"/>
              <w:keepLines w:val="0"/>
              <w:suppressLineNumbers w:val="0"/>
              <w:spacing w:before="0" w:beforeAutospacing="0" w:after="0" w:afterAutospacing="0"/>
              <w:ind w:left="0" w:right="0" w:firstLine="0" w:firstLineChars="0"/>
              <w:jc w:val="center"/>
              <w:rPr>
                <w:rFonts w:hint="default" w:ascii="仿宋_GB2312" w:hAnsi="仿宋_GB2312" w:eastAsia="仿宋_GB2312" w:cs="仿宋_GB2312"/>
                <w:color w:val="000000"/>
                <w:sz w:val="24"/>
                <w:szCs w:val="24"/>
                <w:highlight w:val="yellow"/>
                <w:lang w:val="en-US" w:eastAsia="zh-CN"/>
              </w:rPr>
            </w:pPr>
            <w:bookmarkStart w:id="26" w:name="OLE_LINK6"/>
            <w:r>
              <w:rPr>
                <w:rFonts w:hint="eastAsia" w:ascii="仿宋_GB2312" w:hAnsi="仿宋_GB2312" w:cs="仿宋_GB2312"/>
                <w:color w:val="000000"/>
                <w:sz w:val="24"/>
                <w:szCs w:val="24"/>
                <w:lang w:val="en-US" w:eastAsia="zh-CN"/>
              </w:rPr>
              <w:t>内部审计师</w:t>
            </w:r>
            <w:bookmarkEnd w:id="26"/>
          </w:p>
        </w:tc>
        <w:tc>
          <w:tcPr>
            <w:tcW w:w="1409" w:type="dxa"/>
            <w:tcBorders>
              <w:top w:val="single" w:color="auto" w:sz="4" w:space="0"/>
              <w:left w:val="single" w:color="auto" w:sz="4" w:space="0"/>
              <w:right w:val="single" w:color="auto" w:sz="4" w:space="0"/>
            </w:tcBorders>
            <w:shd w:val="clear" w:color="auto" w:fill="auto"/>
            <w:vAlign w:val="center"/>
          </w:tcPr>
          <w:p w14:paraId="54F9E841">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r>
              <w:rPr>
                <w:rFonts w:hint="eastAsia" w:ascii="仿宋_GB2312" w:hAnsi="Times New Roman" w:cs="Times New Roman"/>
                <w:sz w:val="24"/>
                <w:szCs w:val="24"/>
                <w:lang w:val="en-US" w:eastAsia="zh-CN"/>
              </w:rPr>
              <w:t>1.</w:t>
            </w:r>
            <w:r>
              <w:rPr>
                <w:rFonts w:hint="default" w:ascii="仿宋_GB2312" w:hAnsi="Times New Roman" w:cs="Times New Roman"/>
                <w:sz w:val="24"/>
                <w:szCs w:val="24"/>
                <w:lang w:val="en-US" w:eastAsia="zh-CN"/>
              </w:rPr>
              <w:t>审计规划任务​</w:t>
            </w:r>
          </w:p>
          <w:p w14:paraId="14C4A7BB">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bookmarkStart w:id="27" w:name="OLE_LINK4"/>
            <w:r>
              <w:rPr>
                <w:rFonts w:hint="eastAsia" w:ascii="仿宋_GB2312" w:hAnsi="Times New Roman" w:cs="Times New Roman"/>
                <w:sz w:val="24"/>
                <w:szCs w:val="24"/>
                <w:lang w:val="en-US" w:eastAsia="zh-CN"/>
              </w:rPr>
              <w:t>2.</w:t>
            </w:r>
            <w:r>
              <w:rPr>
                <w:rFonts w:hint="default" w:ascii="仿宋_GB2312" w:hAnsi="Times New Roman" w:cs="Times New Roman"/>
                <w:sz w:val="24"/>
                <w:szCs w:val="24"/>
                <w:lang w:val="en-US" w:eastAsia="zh-CN"/>
              </w:rPr>
              <w:t>审计执行任务​</w:t>
            </w:r>
          </w:p>
          <w:p w14:paraId="4B1A5F7F">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r>
              <w:rPr>
                <w:rFonts w:hint="eastAsia" w:ascii="仿宋_GB2312" w:hAnsi="Times New Roman" w:cs="Times New Roman"/>
                <w:sz w:val="24"/>
                <w:szCs w:val="24"/>
                <w:lang w:val="en-US" w:eastAsia="zh-CN"/>
              </w:rPr>
              <w:t>3.</w:t>
            </w:r>
            <w:r>
              <w:rPr>
                <w:rFonts w:hint="default" w:ascii="仿宋_GB2312" w:hAnsi="Times New Roman" w:cs="Times New Roman"/>
                <w:sz w:val="24"/>
                <w:szCs w:val="24"/>
                <w:lang w:val="en-US" w:eastAsia="zh-CN"/>
              </w:rPr>
              <w:t>审计报告与沟通任务​</w:t>
            </w:r>
          </w:p>
          <w:p w14:paraId="29E71CC0">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p>
          <w:bookmarkEnd w:id="27"/>
          <w:p w14:paraId="1BC914DF">
            <w:pPr>
              <w:keepNext w:val="0"/>
              <w:keepLines w:val="0"/>
              <w:widowControl/>
              <w:numPr>
                <w:ilvl w:val="0"/>
                <w:numId w:val="0"/>
              </w:numPr>
              <w:suppressLineNumbers w:val="0"/>
              <w:pBdr>
                <w:left w:val="none" w:color="auto" w:sz="0" w:space="0"/>
              </w:pBdr>
              <w:spacing w:before="120" w:beforeAutospacing="0" w:after="120" w:afterAutospacing="0" w:line="420" w:lineRule="atLeast"/>
              <w:ind w:left="0" w:right="0"/>
              <w:textAlignment w:val="auto"/>
              <w:rPr>
                <w:rFonts w:hint="default" w:ascii="Segoe UI" w:hAnsi="Segoe UI" w:eastAsia="Segoe UI" w:cs="Segoe UI"/>
                <w:i w:val="0"/>
                <w:iCs w:val="0"/>
                <w:caps w:val="0"/>
                <w:spacing w:val="0"/>
                <w:sz w:val="24"/>
                <w:szCs w:val="24"/>
                <w:shd w:val="clear" w:fill="FFFFFF"/>
              </w:rPr>
            </w:pPr>
          </w:p>
          <w:p w14:paraId="7885721A">
            <w:pPr>
              <w:keepNext w:val="0"/>
              <w:keepLines w:val="0"/>
              <w:suppressLineNumbers w:val="0"/>
              <w:spacing w:before="0" w:beforeAutospacing="0" w:after="0" w:afterAutospacing="0"/>
              <w:ind w:left="0" w:right="0" w:firstLine="0" w:firstLineChars="0"/>
              <w:jc w:val="center"/>
              <w:rPr>
                <w:rFonts w:hint="default" w:ascii="仿宋_GB2312" w:hAnsi="仿宋_GB2312" w:cs="仿宋_GB2312"/>
                <w:color w:val="000000"/>
                <w:sz w:val="24"/>
                <w:szCs w:val="24"/>
                <w:highlight w:val="yellow"/>
              </w:rPr>
            </w:pPr>
          </w:p>
        </w:tc>
        <w:tc>
          <w:tcPr>
            <w:tcW w:w="1851" w:type="dxa"/>
            <w:tcBorders>
              <w:top w:val="single" w:color="auto" w:sz="4" w:space="0"/>
              <w:left w:val="single" w:color="auto" w:sz="4" w:space="0"/>
              <w:bottom w:val="single" w:color="auto" w:sz="4" w:space="0"/>
              <w:right w:val="single" w:color="auto" w:sz="4" w:space="0"/>
            </w:tcBorders>
            <w:vAlign w:val="center"/>
          </w:tcPr>
          <w:p w14:paraId="2DCFB244">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lang w:val="en-US" w:eastAsia="zh-CN"/>
              </w:rPr>
            </w:pPr>
            <w:r>
              <w:rPr>
                <w:rFonts w:hint="eastAsia" w:ascii="仿宋_GB2312" w:hAnsi="Times New Roman" w:cs="Times New Roman"/>
                <w:sz w:val="24"/>
                <w:szCs w:val="24"/>
                <w:lang w:val="en-US" w:eastAsia="zh-CN"/>
              </w:rPr>
              <w:t>1.</w:t>
            </w:r>
            <w:r>
              <w:rPr>
                <w:rFonts w:hint="default" w:ascii="仿宋_GB2312" w:hAnsi="Times New Roman" w:cs="Times New Roman"/>
                <w:sz w:val="24"/>
                <w:szCs w:val="24"/>
                <w:lang w:val="en-US" w:eastAsia="zh-CN"/>
              </w:rPr>
              <w:t>审计规划</w:t>
            </w:r>
            <w:r>
              <w:rPr>
                <w:rFonts w:hint="eastAsia" w:ascii="仿宋_GB2312" w:hAnsi="Times New Roman" w:cs="Times New Roman"/>
                <w:sz w:val="24"/>
                <w:szCs w:val="24"/>
                <w:lang w:val="en-US" w:eastAsia="zh-CN"/>
              </w:rPr>
              <w:t>任务</w:t>
            </w:r>
          </w:p>
          <w:p w14:paraId="3257430E">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r>
              <w:rPr>
                <w:rFonts w:hint="eastAsia" w:ascii="仿宋_GB2312" w:hAnsi="Times New Roman" w:cs="Times New Roman"/>
                <w:sz w:val="24"/>
                <w:szCs w:val="24"/>
                <w:lang w:val="en-US" w:eastAsia="zh-CN"/>
              </w:rPr>
              <w:t>（1）</w:t>
            </w:r>
            <w:r>
              <w:rPr>
                <w:rFonts w:hint="default" w:ascii="仿宋_GB2312" w:hAnsi="Times New Roman" w:cs="Times New Roman"/>
                <w:sz w:val="24"/>
                <w:szCs w:val="24"/>
                <w:lang w:val="en-US" w:eastAsia="zh-CN"/>
              </w:rPr>
              <w:t>制定年度审计计划：依据企业战略目标、过往审计结果以及风险评估报告，梳理出潜在高风险业务领域与关键流程，确定年度内需审计的项目及先后顺序。例如，若企业计划在新年度拓展海外市场，涉及复杂的跨境交易与外汇风险，将针对国际业务板块的审计列为重点项目。同时，合理分配审计资源，包括人力、时间与技术工具，确保审计计划切实可行。​</w:t>
            </w:r>
          </w:p>
          <w:p w14:paraId="45A28CB6">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r>
              <w:rPr>
                <w:rFonts w:hint="eastAsia" w:ascii="仿宋_GB2312" w:hAnsi="Times New Roman" w:cs="Times New Roman"/>
                <w:sz w:val="24"/>
                <w:szCs w:val="24"/>
                <w:lang w:val="en-US" w:eastAsia="zh-CN"/>
              </w:rPr>
              <w:t>（2）</w:t>
            </w:r>
            <w:r>
              <w:rPr>
                <w:rFonts w:hint="default" w:ascii="仿宋_GB2312" w:hAnsi="Times New Roman" w:cs="Times New Roman"/>
                <w:sz w:val="24"/>
                <w:szCs w:val="24"/>
                <w:lang w:val="en-US" w:eastAsia="zh-CN"/>
              </w:rPr>
              <w:t>确定审计项目范围与目标：针对每个审计项目，深入了解业务背景、运营模式与相关法规政策，精准界定审计范围，明确审计要达成的目标。在对企业研发项目开展审计时，明确审计范围涵盖研发预算编制与执行、项目立项审批流程、知识产权管理等，目标是评估研发项目的效率、效果与合规性，挖掘可能存在的资源浪费或潜在风险。</w:t>
            </w:r>
          </w:p>
          <w:p w14:paraId="5C991A52">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r>
              <w:rPr>
                <w:rFonts w:hint="eastAsia" w:ascii="仿宋_GB2312" w:hAnsi="Times New Roman" w:cs="Times New Roman"/>
                <w:sz w:val="24"/>
                <w:szCs w:val="24"/>
                <w:lang w:val="en-US" w:eastAsia="zh-CN"/>
              </w:rPr>
              <w:t>（3）</w:t>
            </w:r>
            <w:r>
              <w:rPr>
                <w:rFonts w:hint="default" w:ascii="仿宋_GB2312" w:hAnsi="Times New Roman" w:cs="Times New Roman"/>
                <w:sz w:val="24"/>
                <w:szCs w:val="24"/>
                <w:lang w:val="en-US" w:eastAsia="zh-CN"/>
              </w:rPr>
              <w:t>设计审计方案：根据审计目标与范围，选择恰当的审计方法与程序，设计详细的审计方案。若审计重点是财务报表真实性，采用抽样审查财务凭证、核对账目、分析财务比率等程序；对于流程审计，运用流程穿行测试、实地观察、员工访谈等方法。同时，制定审计进度表，明确各阶段工作任务与时间节点。</w:t>
            </w:r>
          </w:p>
          <w:p w14:paraId="43E35771">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bookmarkStart w:id="28" w:name="OLE_LINK3"/>
            <w:r>
              <w:rPr>
                <w:rFonts w:hint="eastAsia" w:ascii="仿宋_GB2312" w:hAnsi="Times New Roman" w:cs="Times New Roman"/>
                <w:sz w:val="24"/>
                <w:szCs w:val="24"/>
                <w:lang w:val="en-US" w:eastAsia="zh-CN"/>
              </w:rPr>
              <w:t>2.</w:t>
            </w:r>
            <w:r>
              <w:rPr>
                <w:rFonts w:hint="default" w:ascii="仿宋_GB2312" w:hAnsi="Times New Roman" w:cs="Times New Roman"/>
                <w:sz w:val="24"/>
                <w:szCs w:val="24"/>
                <w:lang w:val="en-US" w:eastAsia="zh-CN"/>
              </w:rPr>
              <w:t>审计执行任务​</w:t>
            </w:r>
          </w:p>
          <w:bookmarkEnd w:id="28"/>
          <w:p w14:paraId="08C1586D">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r>
              <w:rPr>
                <w:rFonts w:hint="eastAsia" w:ascii="仿宋_GB2312" w:hAnsi="Times New Roman" w:cs="Times New Roman"/>
                <w:sz w:val="24"/>
                <w:szCs w:val="24"/>
                <w:lang w:val="en-US" w:eastAsia="zh-CN"/>
              </w:rPr>
              <w:t>（1）</w:t>
            </w:r>
            <w:r>
              <w:rPr>
                <w:rFonts w:hint="default" w:ascii="仿宋_GB2312" w:hAnsi="Times New Roman" w:cs="Times New Roman"/>
                <w:sz w:val="24"/>
                <w:szCs w:val="24"/>
                <w:lang w:val="en-US" w:eastAsia="zh-CN"/>
              </w:rPr>
              <w:t>收集审计证据：运用审阅文件、检查记录、实地盘点、数据验证等手段，广泛收集与审计项目相关的证据。在财务审计中，仔细审阅记账凭证、原始发票，核实资产账目与实物资产是否相符；在运营审计时，实地观察生产车间操作流程，收集员工工作记录与业务数据，确保证据的充分性、相关性与可靠性。​</w:t>
            </w:r>
          </w:p>
          <w:p w14:paraId="35FD6CF0">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r>
              <w:rPr>
                <w:rFonts w:hint="eastAsia" w:ascii="仿宋_GB2312" w:hAnsi="Times New Roman" w:cs="Times New Roman"/>
                <w:sz w:val="24"/>
                <w:szCs w:val="24"/>
                <w:lang w:val="en-US" w:eastAsia="zh-CN"/>
              </w:rPr>
              <w:t>（2）</w:t>
            </w:r>
            <w:r>
              <w:rPr>
                <w:rFonts w:hint="default" w:ascii="仿宋_GB2312" w:hAnsi="Times New Roman" w:cs="Times New Roman"/>
                <w:sz w:val="24"/>
                <w:szCs w:val="24"/>
                <w:lang w:val="en-US" w:eastAsia="zh-CN"/>
              </w:rPr>
              <w:t>开展数据分析：借助数据分析工具对大量业务数据进行挖掘与分析，识别异常交易、波动趋势与潜在风险点。如在销售审计中，通过分析销售数据，对比不同区域、时段、客户群体的销售业绩，发现某些地区销售额异常下降，深入调查可能存在的市场竞争加剧、销售渠道不畅或内部舞弊问题。</w:t>
            </w:r>
            <w:r>
              <w:rPr>
                <w:rFonts w:hint="eastAsia" w:ascii="仿宋_GB2312" w:hAnsi="Times New Roman" w:cs="Times New Roman"/>
                <w:sz w:val="24"/>
                <w:szCs w:val="24"/>
                <w:lang w:val="en-US" w:eastAsia="zh-CN"/>
              </w:rPr>
              <w:t>（3）</w:t>
            </w:r>
            <w:r>
              <w:rPr>
                <w:rFonts w:hint="default" w:ascii="仿宋_GB2312" w:hAnsi="Times New Roman" w:cs="Times New Roman"/>
                <w:sz w:val="24"/>
                <w:szCs w:val="24"/>
                <w:lang w:val="en-US" w:eastAsia="zh-CN"/>
              </w:rPr>
              <w:t>进行风险评估：在审计过程中，持续评估企业面临的各类风险，包括战略风险、市场风险、财务风险、运营风险等。结合收集的证据与数据分析结果，判断风险发生的可能性与影响程度，更新企业风险图谱，为管理层提供实时风险预警信息。​</w:t>
            </w:r>
          </w:p>
          <w:p w14:paraId="66DFC257">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bookmarkStart w:id="29" w:name="OLE_LINK5"/>
            <w:r>
              <w:rPr>
                <w:rFonts w:hint="eastAsia" w:ascii="仿宋_GB2312" w:hAnsi="Times New Roman" w:cs="Times New Roman"/>
                <w:sz w:val="24"/>
                <w:szCs w:val="24"/>
                <w:lang w:val="en-US" w:eastAsia="zh-CN"/>
              </w:rPr>
              <w:t>3.</w:t>
            </w:r>
            <w:r>
              <w:rPr>
                <w:rFonts w:hint="default" w:ascii="仿宋_GB2312" w:hAnsi="Times New Roman" w:cs="Times New Roman"/>
                <w:sz w:val="24"/>
                <w:szCs w:val="24"/>
                <w:lang w:val="en-US" w:eastAsia="zh-CN"/>
              </w:rPr>
              <w:t>审计报告与沟通任务​</w:t>
            </w:r>
          </w:p>
          <w:bookmarkEnd w:id="29"/>
          <w:p w14:paraId="186A121A">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r>
              <w:rPr>
                <w:rFonts w:hint="eastAsia" w:ascii="仿宋_GB2312" w:hAnsi="Times New Roman" w:cs="Times New Roman"/>
                <w:sz w:val="24"/>
                <w:szCs w:val="24"/>
                <w:lang w:val="en-US" w:eastAsia="zh-CN"/>
              </w:rPr>
              <w:t>（1）</w:t>
            </w:r>
            <w:r>
              <w:rPr>
                <w:rFonts w:hint="default" w:ascii="仿宋_GB2312" w:hAnsi="Times New Roman" w:cs="Times New Roman"/>
                <w:sz w:val="24"/>
                <w:szCs w:val="24"/>
                <w:lang w:val="en-US" w:eastAsia="zh-CN"/>
              </w:rPr>
              <w:t>撰写审计报告：汇总审计发现，依据审计标准对问题进行定性与分析，撰写清晰、客观、准确的审计报告。报告内容涵盖审计目标、范围、方法、发现的问题、问题产生的原因、影响程度以及针对性的改进建议。使用简洁明了的语言与图表辅助说明，确保报告易于理解，为管理层决策提供有力支持。</w:t>
            </w:r>
          </w:p>
          <w:p w14:paraId="160A3FAB">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r>
              <w:rPr>
                <w:rFonts w:hint="eastAsia" w:ascii="仿宋_GB2312" w:hAnsi="Times New Roman" w:cs="Times New Roman"/>
                <w:sz w:val="24"/>
                <w:szCs w:val="24"/>
                <w:lang w:val="en-US" w:eastAsia="zh-CN"/>
              </w:rPr>
              <w:t>（2）</w:t>
            </w:r>
            <w:r>
              <w:rPr>
                <w:rFonts w:hint="default" w:ascii="仿宋_GB2312" w:hAnsi="Times New Roman" w:cs="Times New Roman"/>
                <w:sz w:val="24"/>
                <w:szCs w:val="24"/>
                <w:lang w:val="en-US" w:eastAsia="zh-CN"/>
              </w:rPr>
              <w:t>沟通审计结果：与被审计部门进行初步沟通，分享审计发现与建议，听取其反馈意见，核实信息准确性与完整性。在此基础上，向管理层正式汇报审计结果，针对重大问题进行详细阐述，提出整改要求与期限。根据需要，向董事会或审计委员会进行专题汇报，保障企业高层全面掌握审计情况。</w:t>
            </w:r>
          </w:p>
          <w:p w14:paraId="657756E3">
            <w:pPr>
              <w:keepNext w:val="0"/>
              <w:keepLines w:val="0"/>
              <w:suppressLineNumbers w:val="0"/>
              <w:spacing w:before="0" w:beforeAutospacing="0" w:after="0" w:afterAutospacing="0" w:line="240" w:lineRule="auto"/>
              <w:ind w:left="0" w:right="0" w:firstLine="0" w:firstLineChars="0"/>
              <w:rPr>
                <w:rFonts w:hint="default" w:ascii="仿宋_GB2312" w:hAnsi="Times New Roman" w:cs="Times New Roman"/>
                <w:sz w:val="24"/>
                <w:szCs w:val="24"/>
                <w:lang w:val="en-US" w:eastAsia="zh-CN"/>
              </w:rPr>
            </w:pPr>
            <w:r>
              <w:rPr>
                <w:rFonts w:hint="eastAsia" w:ascii="仿宋_GB2312" w:hAnsi="Times New Roman" w:cs="Times New Roman"/>
                <w:sz w:val="24"/>
                <w:szCs w:val="24"/>
                <w:lang w:val="en-US" w:eastAsia="zh-CN"/>
              </w:rPr>
              <w:t>（3）</w:t>
            </w:r>
            <w:r>
              <w:rPr>
                <w:rFonts w:hint="default" w:ascii="仿宋_GB2312" w:hAnsi="Times New Roman" w:cs="Times New Roman"/>
                <w:sz w:val="24"/>
                <w:szCs w:val="24"/>
                <w:lang w:val="en-US" w:eastAsia="zh-CN"/>
              </w:rPr>
              <w:t>推动审计整改：跟踪被审计部门的整改情况，建立整改台账，明确整改责任人与时间节点。定期与整改部门沟通，协助解决整改过程中遇到的困难与问题。对整改措施的执行情况进行检查与评估，确保问题得到有效解决，内部控制得到完善，实现审计工作的闭环管理。</w:t>
            </w:r>
          </w:p>
          <w:p w14:paraId="218AFEEA">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14:paraId="52947963">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val="en-US" w:eastAsia="zh-CN"/>
              </w:rPr>
              <w:t>1.</w:t>
            </w:r>
            <w:r>
              <w:rPr>
                <w:rFonts w:hint="default" w:ascii="仿宋_GB2312" w:eastAsia="仿宋_GB2312"/>
                <w:sz w:val="24"/>
                <w:szCs w:val="24"/>
              </w:rPr>
              <w:t>审计技术与方法运用技能</w:t>
            </w:r>
          </w:p>
          <w:p w14:paraId="5187C749">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eastAsia="zh-CN"/>
              </w:rPr>
              <w:t>（</w:t>
            </w:r>
            <w:r>
              <w:rPr>
                <w:rFonts w:hint="eastAsia" w:ascii="仿宋_GB2312" w:eastAsia="仿宋_GB2312"/>
                <w:sz w:val="24"/>
                <w:szCs w:val="24"/>
                <w:lang w:val="en-US" w:eastAsia="zh-CN"/>
              </w:rPr>
              <w:t>1</w:t>
            </w:r>
            <w:r>
              <w:rPr>
                <w:rFonts w:hint="eastAsia" w:ascii="仿宋_GB2312" w:eastAsia="仿宋_GB2312"/>
                <w:sz w:val="24"/>
                <w:szCs w:val="24"/>
                <w:lang w:eastAsia="zh-CN"/>
              </w:rPr>
              <w:t>）</w:t>
            </w:r>
            <w:r>
              <w:rPr>
                <w:rFonts w:hint="default" w:ascii="仿宋_GB2312" w:eastAsia="仿宋_GB2312"/>
                <w:sz w:val="24"/>
                <w:szCs w:val="24"/>
              </w:rPr>
              <w:t>熟练运用审计抽样：根据审计目标和总体特征，合理确定抽样方法和样本量，如使用统计抽样或非统计抽样方法，从大量交易和账户余额中选取具有代表性的样本进行审查，以推断总体的特征和存在的问题。</w:t>
            </w:r>
          </w:p>
          <w:p w14:paraId="14C9F471">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eastAsia="zh-CN"/>
              </w:rPr>
              <w:t>（</w:t>
            </w:r>
            <w:r>
              <w:rPr>
                <w:rFonts w:hint="eastAsia" w:ascii="仿宋_GB2312" w:eastAsia="仿宋_GB2312"/>
                <w:sz w:val="24"/>
                <w:szCs w:val="24"/>
                <w:lang w:val="en-US" w:eastAsia="zh-CN"/>
              </w:rPr>
              <w:t>2</w:t>
            </w:r>
            <w:r>
              <w:rPr>
                <w:rFonts w:hint="eastAsia" w:ascii="仿宋_GB2312" w:eastAsia="仿宋_GB2312"/>
                <w:sz w:val="24"/>
                <w:szCs w:val="24"/>
                <w:lang w:eastAsia="zh-CN"/>
              </w:rPr>
              <w:t>）</w:t>
            </w:r>
            <w:r>
              <w:rPr>
                <w:rFonts w:hint="default" w:ascii="仿宋_GB2312" w:eastAsia="仿宋_GB2312"/>
                <w:sz w:val="24"/>
                <w:szCs w:val="24"/>
              </w:rPr>
              <w:t>掌握数据分析技术：运用数据分析软件和工具，如 ACL、IDEA 或 Excel 高级功能等，对企业的财务和业务数据进行挖掘、分析和比对。能够通过数据筛选、排序、透视表等操作，快速发现异常数据和潜在风险点，如识别出异常的交易模式、波动较大的财务指标等。</w:t>
            </w:r>
          </w:p>
          <w:p w14:paraId="38946506">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eastAsia="zh-CN"/>
              </w:rPr>
              <w:t>（</w:t>
            </w:r>
            <w:r>
              <w:rPr>
                <w:rFonts w:hint="eastAsia" w:ascii="仿宋_GB2312" w:eastAsia="仿宋_GB2312"/>
                <w:sz w:val="24"/>
                <w:szCs w:val="24"/>
                <w:lang w:val="en-US" w:eastAsia="zh-CN"/>
              </w:rPr>
              <w:t>3</w:t>
            </w:r>
            <w:r>
              <w:rPr>
                <w:rFonts w:hint="eastAsia" w:ascii="仿宋_GB2312" w:eastAsia="仿宋_GB2312"/>
                <w:sz w:val="24"/>
                <w:szCs w:val="24"/>
                <w:lang w:eastAsia="zh-CN"/>
              </w:rPr>
              <w:t>）</w:t>
            </w:r>
            <w:r>
              <w:rPr>
                <w:rFonts w:hint="default" w:ascii="仿宋_GB2312" w:eastAsia="仿宋_GB2312"/>
                <w:sz w:val="24"/>
                <w:szCs w:val="24"/>
              </w:rPr>
              <w:t>实施内部控制测试：通过询问、观察、检查文件记录和重新执行等程序，对企业的内部控制制度进行测试，评估其设计的合理性和运行的有效性。例如，检查企业的采购审批流程是否得到有效执行，是否存在未按规定审批的采购行为。</w:t>
            </w:r>
          </w:p>
          <w:p w14:paraId="7BD8E072">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val="en-US" w:eastAsia="zh-CN"/>
              </w:rPr>
              <w:t>2.</w:t>
            </w:r>
            <w:r>
              <w:rPr>
                <w:rFonts w:hint="default" w:ascii="仿宋_GB2312" w:eastAsia="仿宋_GB2312"/>
                <w:sz w:val="24"/>
                <w:szCs w:val="24"/>
              </w:rPr>
              <w:t>问题洞察与分析判断技能</w:t>
            </w:r>
          </w:p>
          <w:p w14:paraId="6AD4D845">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eastAsia="zh-CN"/>
              </w:rPr>
              <w:t>（</w:t>
            </w:r>
            <w:r>
              <w:rPr>
                <w:rFonts w:hint="eastAsia" w:ascii="仿宋_GB2312" w:eastAsia="仿宋_GB2312"/>
                <w:sz w:val="24"/>
                <w:szCs w:val="24"/>
                <w:lang w:val="en-US" w:eastAsia="zh-CN"/>
              </w:rPr>
              <w:t>1</w:t>
            </w:r>
            <w:r>
              <w:rPr>
                <w:rFonts w:hint="eastAsia" w:ascii="仿宋_GB2312" w:eastAsia="仿宋_GB2312"/>
                <w:sz w:val="24"/>
                <w:szCs w:val="24"/>
                <w:lang w:eastAsia="zh-CN"/>
              </w:rPr>
              <w:t>）</w:t>
            </w:r>
            <w:r>
              <w:rPr>
                <w:rFonts w:hint="default" w:ascii="仿宋_GB2312" w:eastAsia="仿宋_GB2312"/>
                <w:sz w:val="24"/>
                <w:szCs w:val="24"/>
              </w:rPr>
              <w:t>敏锐的问题发现能力：在审计过程中，能够细致观察、深入挖掘，从看似平常的业务活动和数据中发现潜在的问题和风险迹象。例如，注意到财务报表中某些科目余额的变化与业务实际情况不符，或者发现业务流程中存在的不合理环节。</w:t>
            </w:r>
          </w:p>
          <w:p w14:paraId="711FFE3D">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eastAsia="zh-CN"/>
              </w:rPr>
              <w:t>（</w:t>
            </w:r>
            <w:r>
              <w:rPr>
                <w:rFonts w:hint="eastAsia" w:ascii="仿宋_GB2312" w:eastAsia="仿宋_GB2312"/>
                <w:sz w:val="24"/>
                <w:szCs w:val="24"/>
                <w:lang w:val="en-US" w:eastAsia="zh-CN"/>
              </w:rPr>
              <w:t>2</w:t>
            </w:r>
            <w:r>
              <w:rPr>
                <w:rFonts w:hint="eastAsia" w:ascii="仿宋_GB2312" w:eastAsia="仿宋_GB2312"/>
                <w:sz w:val="24"/>
                <w:szCs w:val="24"/>
                <w:lang w:eastAsia="zh-CN"/>
              </w:rPr>
              <w:t>）</w:t>
            </w:r>
            <w:r>
              <w:rPr>
                <w:rFonts w:hint="default" w:ascii="仿宋_GB2312" w:eastAsia="仿宋_GB2312"/>
                <w:sz w:val="24"/>
                <w:szCs w:val="24"/>
              </w:rPr>
              <w:t>深入的分析判断能力：对发现的问题进行深入分析，运用逻辑推理和专业知识，判断问题的性质、影响程度和可能的原因。比如，通过分析成本数据的构成和变化趋势，判断企业成本控制中存在的问题是由于原材料采购价格上涨、生产效率低下还是其他因素导致的。</w:t>
            </w:r>
          </w:p>
          <w:p w14:paraId="020087BE">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eastAsia="zh-CN"/>
              </w:rPr>
              <w:t>（</w:t>
            </w:r>
            <w:r>
              <w:rPr>
                <w:rFonts w:hint="eastAsia" w:ascii="仿宋_GB2312" w:eastAsia="仿宋_GB2312"/>
                <w:sz w:val="24"/>
                <w:szCs w:val="24"/>
                <w:lang w:val="en-US" w:eastAsia="zh-CN"/>
              </w:rPr>
              <w:t>3</w:t>
            </w:r>
            <w:r>
              <w:rPr>
                <w:rFonts w:hint="eastAsia" w:ascii="仿宋_GB2312" w:eastAsia="仿宋_GB2312"/>
                <w:sz w:val="24"/>
                <w:szCs w:val="24"/>
                <w:lang w:eastAsia="zh-CN"/>
              </w:rPr>
              <w:t>）</w:t>
            </w:r>
            <w:r>
              <w:rPr>
                <w:rFonts w:hint="default" w:ascii="仿宋_GB2312" w:eastAsia="仿宋_GB2312"/>
                <w:sz w:val="24"/>
                <w:szCs w:val="24"/>
              </w:rPr>
              <w:t>风险评估与预警能力：根据审计发现的问题和企业的内外部环境，评估企业面临的各种风险，包括财务风险、市场风险、运营风险等，并及时发出风险预警。能够运用风险评估模型或工具，对风险进行量化分析，为企业管理层提供决策依据。</w:t>
            </w:r>
          </w:p>
          <w:p w14:paraId="7ABE6013">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val="en-US" w:eastAsia="zh-CN"/>
              </w:rPr>
              <w:t>3.</w:t>
            </w:r>
            <w:r>
              <w:rPr>
                <w:rFonts w:hint="default" w:ascii="仿宋_GB2312" w:eastAsia="仿宋_GB2312"/>
                <w:sz w:val="24"/>
                <w:szCs w:val="24"/>
              </w:rPr>
              <w:t>沟通与协调技能</w:t>
            </w:r>
          </w:p>
          <w:p w14:paraId="4526550D">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eastAsia="zh-CN"/>
              </w:rPr>
              <w:t>（</w:t>
            </w:r>
            <w:r>
              <w:rPr>
                <w:rFonts w:hint="eastAsia" w:ascii="仿宋_GB2312" w:eastAsia="仿宋_GB2312"/>
                <w:sz w:val="24"/>
                <w:szCs w:val="24"/>
                <w:lang w:val="en-US" w:eastAsia="zh-CN"/>
              </w:rPr>
              <w:t>1</w:t>
            </w:r>
            <w:r>
              <w:rPr>
                <w:rFonts w:hint="eastAsia" w:ascii="仿宋_GB2312" w:eastAsia="仿宋_GB2312"/>
                <w:sz w:val="24"/>
                <w:szCs w:val="24"/>
                <w:lang w:eastAsia="zh-CN"/>
              </w:rPr>
              <w:t>）</w:t>
            </w:r>
            <w:r>
              <w:rPr>
                <w:rFonts w:hint="default" w:ascii="仿宋_GB2312" w:eastAsia="仿宋_GB2312"/>
                <w:sz w:val="24"/>
                <w:szCs w:val="24"/>
              </w:rPr>
              <w:t>良好的沟通能力：与企业内部各层级人员进行有效的沟通，包括与管理层汇报审计结果和建议，与被审计部门沟通审计发现的问题和整改要求，与其他部门协调审计工作的开展等。能够清晰、准确地表达自己的观点和意见，同时也能倾听他人的想法和反馈，确保信息的顺畅传递。</w:t>
            </w:r>
          </w:p>
          <w:p w14:paraId="14D814F5">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eastAsia="zh-CN"/>
              </w:rPr>
              <w:t>（</w:t>
            </w:r>
            <w:r>
              <w:rPr>
                <w:rFonts w:hint="eastAsia" w:ascii="仿宋_GB2312" w:eastAsia="仿宋_GB2312"/>
                <w:sz w:val="24"/>
                <w:szCs w:val="24"/>
                <w:lang w:val="en-US" w:eastAsia="zh-CN"/>
              </w:rPr>
              <w:t>2</w:t>
            </w:r>
            <w:r>
              <w:rPr>
                <w:rFonts w:hint="eastAsia" w:ascii="仿宋_GB2312" w:eastAsia="仿宋_GB2312"/>
                <w:sz w:val="24"/>
                <w:szCs w:val="24"/>
                <w:lang w:eastAsia="zh-CN"/>
              </w:rPr>
              <w:t>）</w:t>
            </w:r>
            <w:r>
              <w:rPr>
                <w:rFonts w:hint="default" w:ascii="仿宋_GB2312" w:eastAsia="仿宋_GB2312"/>
                <w:sz w:val="24"/>
                <w:szCs w:val="24"/>
              </w:rPr>
              <w:t>冲突管理与协调能力：在审计过程中，可能会遇到与被审计部门或其他相关方的意见分歧或冲突。内部审计师需要具备协调各方利益、解决冲突的能力，以客观、公正的态度处理问题，推动审计工作的顺利进行。例如，当被审计部门对审计发现的问题存在异议时，能够通过沟通和协商，达成共识，确定合理的整改方案。</w:t>
            </w:r>
          </w:p>
          <w:p w14:paraId="1C4EF696">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val="en-US" w:eastAsia="zh-CN"/>
              </w:rPr>
              <w:t>4.</w:t>
            </w:r>
            <w:r>
              <w:rPr>
                <w:rFonts w:hint="default" w:ascii="仿宋_GB2312" w:eastAsia="仿宋_GB2312"/>
                <w:sz w:val="24"/>
                <w:szCs w:val="24"/>
              </w:rPr>
              <w:t>报告撰写与成果呈现技能</w:t>
            </w:r>
          </w:p>
          <w:p w14:paraId="08593B03">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eastAsia="zh-CN"/>
              </w:rPr>
              <w:t>（</w:t>
            </w:r>
            <w:r>
              <w:rPr>
                <w:rFonts w:hint="eastAsia" w:ascii="仿宋_GB2312" w:eastAsia="仿宋_GB2312"/>
                <w:sz w:val="24"/>
                <w:szCs w:val="24"/>
                <w:lang w:val="en-US" w:eastAsia="zh-CN"/>
              </w:rPr>
              <w:t>1</w:t>
            </w:r>
            <w:r>
              <w:rPr>
                <w:rFonts w:hint="eastAsia" w:ascii="仿宋_GB2312" w:eastAsia="仿宋_GB2312"/>
                <w:sz w:val="24"/>
                <w:szCs w:val="24"/>
                <w:lang w:eastAsia="zh-CN"/>
              </w:rPr>
              <w:t>）</w:t>
            </w:r>
            <w:r>
              <w:rPr>
                <w:rFonts w:hint="default" w:ascii="仿宋_GB2312" w:eastAsia="仿宋_GB2312"/>
                <w:sz w:val="24"/>
                <w:szCs w:val="24"/>
              </w:rPr>
              <w:t>专业的报告撰写能力：撰写清晰、准确、简洁的审计报告，内容包括审计目标、范围、方法、发现的问题、结论和建议等。能够以规范的格式和严谨的逻辑组织报告内容，使管理层和其他相关人员能够快速理解审计工作的重点和成果。例如，在报告中使用图表、数据等方式直观地展示审计发现的问题和趋势。</w:t>
            </w:r>
          </w:p>
          <w:p w14:paraId="14093B77">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r>
              <w:rPr>
                <w:rFonts w:hint="eastAsia" w:ascii="仿宋_GB2312" w:eastAsia="仿宋_GB2312"/>
                <w:sz w:val="24"/>
                <w:szCs w:val="24"/>
                <w:lang w:eastAsia="zh-CN"/>
              </w:rPr>
              <w:t>（</w:t>
            </w:r>
            <w:r>
              <w:rPr>
                <w:rFonts w:hint="eastAsia" w:ascii="仿宋_GB2312" w:eastAsia="仿宋_GB2312"/>
                <w:sz w:val="24"/>
                <w:szCs w:val="24"/>
                <w:lang w:val="en-US" w:eastAsia="zh-CN"/>
              </w:rPr>
              <w:t>2</w:t>
            </w:r>
            <w:r>
              <w:rPr>
                <w:rFonts w:hint="eastAsia" w:ascii="仿宋_GB2312" w:eastAsia="仿宋_GB2312"/>
                <w:sz w:val="24"/>
                <w:szCs w:val="24"/>
                <w:lang w:eastAsia="zh-CN"/>
              </w:rPr>
              <w:t>）</w:t>
            </w:r>
            <w:r>
              <w:rPr>
                <w:rFonts w:hint="default" w:ascii="仿宋_GB2312" w:eastAsia="仿宋_GB2312"/>
                <w:sz w:val="24"/>
                <w:szCs w:val="24"/>
              </w:rPr>
              <w:t>有效的成果呈现能力：除了书面报告外，还能够通过口头汇报、PPT 演示等方式，向管理层和董事会等汇报审计工作成果。能够根据不同的受众和场合，选择合适的呈现方式，突出重点，强调关键问题和建议，提高审计成果的影响力和决策参考价值。</w:t>
            </w:r>
          </w:p>
          <w:p w14:paraId="0054EED4">
            <w:pPr>
              <w:pStyle w:val="28"/>
              <w:keepNext w:val="0"/>
              <w:keepLines w:val="0"/>
              <w:suppressLineNumbers w:val="0"/>
              <w:tabs>
                <w:tab w:val="left" w:pos="546"/>
              </w:tabs>
              <w:spacing w:before="3" w:beforeAutospacing="0" w:after="0" w:afterAutospacing="0" w:line="242" w:lineRule="auto"/>
              <w:ind w:left="0" w:right="-15"/>
              <w:jc w:val="both"/>
              <w:rPr>
                <w:rFonts w:hint="default" w:ascii="仿宋_GB2312" w:eastAsia="仿宋_GB2312"/>
                <w:sz w:val="24"/>
                <w:szCs w:val="24"/>
              </w:rPr>
            </w:pPr>
          </w:p>
        </w:tc>
        <w:tc>
          <w:tcPr>
            <w:tcW w:w="2347" w:type="dxa"/>
            <w:tcBorders>
              <w:top w:val="single" w:color="auto" w:sz="4" w:space="0"/>
              <w:left w:val="single" w:color="auto" w:sz="4" w:space="0"/>
              <w:bottom w:val="single" w:color="auto" w:sz="4" w:space="0"/>
              <w:right w:val="single" w:color="auto" w:sz="12" w:space="0"/>
            </w:tcBorders>
            <w:shd w:val="clear" w:color="auto" w:fill="auto"/>
            <w:vAlign w:val="center"/>
          </w:tcPr>
          <w:p w14:paraId="70869761">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w:t>
            </w:r>
            <w:r>
              <w:rPr>
                <w:rFonts w:hint="default" w:ascii="仿宋_GB2312" w:hAnsi="仿宋_GB2312" w:eastAsia="仿宋_GB2312" w:cs="仿宋_GB2312"/>
                <w:color w:val="000000"/>
                <w:sz w:val="24"/>
                <w:szCs w:val="24"/>
              </w:rPr>
              <w:t>审计专业知识</w:t>
            </w:r>
          </w:p>
          <w:p w14:paraId="0886FC74">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lang w:val="en-US" w:eastAsia="zh-CN"/>
              </w:rPr>
              <w:t>1</w:t>
            </w:r>
            <w:r>
              <w:rPr>
                <w:rFonts w:hint="eastAsia" w:ascii="仿宋_GB2312" w:hAnsi="仿宋_GB2312" w:eastAsia="仿宋_GB2312" w:cs="仿宋_GB2312"/>
                <w:color w:val="000000"/>
                <w:sz w:val="24"/>
                <w:szCs w:val="24"/>
                <w:lang w:eastAsia="zh-CN"/>
              </w:rPr>
              <w:t>）</w:t>
            </w:r>
            <w:r>
              <w:rPr>
                <w:rFonts w:hint="default" w:ascii="仿宋_GB2312" w:hAnsi="仿宋_GB2312" w:eastAsia="仿宋_GB2312" w:cs="仿宋_GB2312"/>
                <w:color w:val="000000"/>
                <w:sz w:val="24"/>
                <w:szCs w:val="24"/>
              </w:rPr>
              <w:t>财务审计知识：精通财务报表审计的原理和方法，熟悉会计准则和相关法规，能够对企业的资产、负债、所有者权益、收入、成本费用等进行审计，验证财务报表的真实性、准确性和完整性。例如，掌握应收账款的函证程序、存货的盘点方法、固定资产的折旧计算等财务审计技能。</w:t>
            </w:r>
          </w:p>
          <w:p w14:paraId="5952595B">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lang w:eastAsia="zh-CN"/>
              </w:rPr>
              <w:t>）</w:t>
            </w:r>
            <w:r>
              <w:rPr>
                <w:rFonts w:hint="default" w:ascii="仿宋_GB2312" w:hAnsi="仿宋_GB2312" w:eastAsia="仿宋_GB2312" w:cs="仿宋_GB2312"/>
                <w:color w:val="000000"/>
                <w:sz w:val="24"/>
                <w:szCs w:val="24"/>
              </w:rPr>
              <w:t>内部审计准则和规范：深入了解内部审计的基本准则、职业道德规范和实务指南，如国际内部审计师协会（IIA）发布的《国际内部审计专业实务框架》（IPPF）以及我国的《内部审计基本准则》等，确保审计工作的合规性和专业性。</w:t>
            </w:r>
          </w:p>
          <w:p w14:paraId="5D5EC832">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lang w:val="en-US" w:eastAsia="zh-CN"/>
              </w:rPr>
              <w:t>3</w:t>
            </w:r>
            <w:r>
              <w:rPr>
                <w:rFonts w:hint="eastAsia" w:ascii="仿宋_GB2312" w:hAnsi="仿宋_GB2312" w:eastAsia="仿宋_GB2312" w:cs="仿宋_GB2312"/>
                <w:color w:val="000000"/>
                <w:sz w:val="24"/>
                <w:szCs w:val="24"/>
                <w:lang w:eastAsia="zh-CN"/>
              </w:rPr>
              <w:t>）</w:t>
            </w:r>
            <w:r>
              <w:rPr>
                <w:rFonts w:hint="default" w:ascii="仿宋_GB2312" w:hAnsi="仿宋_GB2312" w:eastAsia="仿宋_GB2312" w:cs="仿宋_GB2312"/>
                <w:color w:val="000000"/>
                <w:sz w:val="24"/>
                <w:szCs w:val="24"/>
              </w:rPr>
              <w:t>风险管理与内部控制知识：掌握风险管理的基本理论和方法，了解企业内部控制体系的构建和运行机制。能够运用风险评估工具和方法，对企业的风险进行识别、评估和应对，同时对内部控制的有效性进行评价和改进，帮助企业完善风险管理和内部控制体系。</w:t>
            </w:r>
          </w:p>
          <w:p w14:paraId="2F52C024">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r>
              <w:rPr>
                <w:rFonts w:hint="default" w:ascii="仿宋_GB2312" w:hAnsi="仿宋_GB2312" w:eastAsia="仿宋_GB2312" w:cs="仿宋_GB2312"/>
                <w:color w:val="000000"/>
                <w:sz w:val="24"/>
                <w:szCs w:val="24"/>
              </w:rPr>
              <w:t>企业管理与运营知识</w:t>
            </w:r>
          </w:p>
          <w:p w14:paraId="742506CE">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lang w:val="en-US" w:eastAsia="zh-CN"/>
              </w:rPr>
              <w:t>1</w:t>
            </w:r>
            <w:r>
              <w:rPr>
                <w:rFonts w:hint="eastAsia" w:ascii="仿宋_GB2312" w:hAnsi="仿宋_GB2312" w:eastAsia="仿宋_GB2312" w:cs="仿宋_GB2312"/>
                <w:color w:val="000000"/>
                <w:sz w:val="24"/>
                <w:szCs w:val="24"/>
                <w:lang w:eastAsia="zh-CN"/>
              </w:rPr>
              <w:t>）</w:t>
            </w:r>
            <w:r>
              <w:rPr>
                <w:rFonts w:hint="default" w:ascii="仿宋_GB2312" w:hAnsi="仿宋_GB2312" w:eastAsia="仿宋_GB2312" w:cs="仿宋_GB2312"/>
                <w:color w:val="000000"/>
                <w:sz w:val="24"/>
                <w:szCs w:val="24"/>
              </w:rPr>
              <w:t>企业战略与运营管理：了解企业的战略规划、组织架构、业务流程和运营模式，熟悉企业各部门的职责和工作内容。能够从企业整体战略的角度出发，审视审计发现的问题对企业运营和发展的影响，为企业提供有针对性的建议和解决方案。</w:t>
            </w:r>
          </w:p>
          <w:p w14:paraId="47CF403B">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lang w:eastAsia="zh-CN"/>
              </w:rPr>
              <w:t>）</w:t>
            </w:r>
            <w:r>
              <w:rPr>
                <w:rFonts w:hint="default" w:ascii="仿宋_GB2312" w:hAnsi="仿宋_GB2312" w:eastAsia="仿宋_GB2312" w:cs="仿宋_GB2312"/>
                <w:color w:val="000000"/>
                <w:sz w:val="24"/>
                <w:szCs w:val="24"/>
              </w:rPr>
              <w:t>财务管理与会计知识：除了财务审计方面的知识外，还需要深入掌握财务管理的相关知识，如资金管理、预算管理、成本控制、财务分析等。能够运用财务分析方法，对企业的财务状况和经营成果进行分析和评价，为企业的财务管理提供支持和建议。</w:t>
            </w:r>
          </w:p>
          <w:p w14:paraId="05F55891">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lang w:val="en-US" w:eastAsia="zh-CN"/>
              </w:rPr>
              <w:t>3</w:t>
            </w:r>
            <w:r>
              <w:rPr>
                <w:rFonts w:hint="eastAsia" w:ascii="仿宋_GB2312" w:hAnsi="仿宋_GB2312" w:eastAsia="仿宋_GB2312" w:cs="仿宋_GB2312"/>
                <w:color w:val="000000"/>
                <w:sz w:val="24"/>
                <w:szCs w:val="24"/>
                <w:lang w:eastAsia="zh-CN"/>
              </w:rPr>
              <w:t>）</w:t>
            </w:r>
            <w:r>
              <w:rPr>
                <w:rFonts w:hint="default" w:ascii="仿宋_GB2312" w:hAnsi="仿宋_GB2312" w:eastAsia="仿宋_GB2312" w:cs="仿宋_GB2312"/>
                <w:color w:val="000000"/>
                <w:sz w:val="24"/>
                <w:szCs w:val="24"/>
              </w:rPr>
              <w:t>人力资源管理知识：了解人力资源管理的基本原理和方法，包括人员招聘、培训与发展、绩效考核、薪酬福利等方面的知识。在审计过程中，能够关注人力资源管理方面的问题，如员工激励机制是否有效、人力资源配置是否合理等，为企业的人力资源管理提供审计意见和建议。</w:t>
            </w:r>
          </w:p>
          <w:p w14:paraId="2BAB29BB">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3.</w:t>
            </w:r>
            <w:r>
              <w:rPr>
                <w:rFonts w:hint="default" w:ascii="仿宋_GB2312" w:hAnsi="仿宋_GB2312" w:eastAsia="仿宋_GB2312" w:cs="仿宋_GB2312"/>
                <w:color w:val="000000"/>
                <w:sz w:val="24"/>
                <w:szCs w:val="24"/>
              </w:rPr>
              <w:t>法律法规与合规知识</w:t>
            </w:r>
          </w:p>
          <w:p w14:paraId="060D3894">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lang w:val="en-US" w:eastAsia="zh-CN"/>
              </w:rPr>
              <w:t>1</w:t>
            </w:r>
            <w:r>
              <w:rPr>
                <w:rFonts w:hint="eastAsia" w:ascii="仿宋_GB2312" w:hAnsi="仿宋_GB2312" w:eastAsia="仿宋_GB2312" w:cs="仿宋_GB2312"/>
                <w:color w:val="000000"/>
                <w:sz w:val="24"/>
                <w:szCs w:val="24"/>
                <w:lang w:eastAsia="zh-CN"/>
              </w:rPr>
              <w:t>）</w:t>
            </w:r>
            <w:r>
              <w:rPr>
                <w:rFonts w:hint="default" w:ascii="仿宋_GB2312" w:hAnsi="仿宋_GB2312" w:eastAsia="仿宋_GB2312" w:cs="仿宋_GB2312"/>
                <w:color w:val="000000"/>
                <w:sz w:val="24"/>
                <w:szCs w:val="24"/>
              </w:rPr>
              <w:t>法律法规知识：熟悉与企业经营相关的法律法规，如公司法、证券法、税法、合同法等，了解这些法律法规对企业的要求和约束。在审计工作中，能够检查企业的经营活动和财务处理是否符合法律法规的规定，帮助企业防范法律风险。</w:t>
            </w:r>
          </w:p>
          <w:p w14:paraId="6340C1D0">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lang w:eastAsia="zh-CN"/>
              </w:rPr>
              <w:t>）</w:t>
            </w:r>
            <w:r>
              <w:rPr>
                <w:rFonts w:hint="default" w:ascii="仿宋_GB2312" w:hAnsi="仿宋_GB2312" w:eastAsia="仿宋_GB2312" w:cs="仿宋_GB2312"/>
                <w:color w:val="000000"/>
                <w:sz w:val="24"/>
                <w:szCs w:val="24"/>
              </w:rPr>
              <w:t>行业监管要求：了解所在行业的监管政策和要求，熟悉行业规范和标准。例如，金融行业的内部审计师需要熟悉金融监管机构发布的各项规章制度，如资本充足率要求、风险管理规定等，确保企业的经营活动符合行业监管要求。</w:t>
            </w:r>
          </w:p>
          <w:p w14:paraId="5A0E4F24">
            <w:pPr>
              <w:pStyle w:val="27"/>
              <w:keepNext w:val="0"/>
              <w:keepLines w:val="0"/>
              <w:suppressLineNumbers w:val="0"/>
              <w:spacing w:before="0" w:beforeAutospacing="0" w:after="0" w:afterAutospacing="0" w:line="240" w:lineRule="auto"/>
              <w:ind w:left="0" w:right="0" w:firstLine="0" w:firstLineChars="0"/>
              <w:jc w:val="left"/>
              <w:rPr>
                <w:rFonts w:hint="default" w:ascii="仿宋_GB2312" w:hAnsi="仿宋_GB2312" w:eastAsia="仿宋_GB2312" w:cs="仿宋_GB2312"/>
                <w:color w:val="000000"/>
                <w:sz w:val="24"/>
                <w:szCs w:val="24"/>
              </w:rPr>
            </w:pPr>
          </w:p>
        </w:tc>
      </w:tr>
    </w:tbl>
    <w:p w14:paraId="5449A016">
      <w:pPr>
        <w:pStyle w:val="2"/>
        <w:numPr>
          <w:ilvl w:val="0"/>
          <w:numId w:val="7"/>
        </w:numPr>
        <w:ind w:firstLine="560"/>
        <w:rPr>
          <w:b/>
          <w:bCs/>
        </w:rPr>
      </w:pPr>
      <w:bookmarkStart w:id="30" w:name="_Toc9176"/>
      <w:bookmarkStart w:id="31" w:name="_Toc30005"/>
      <w:bookmarkStart w:id="32" w:name="_Toc502337266"/>
      <w:r>
        <w:rPr>
          <w:rFonts w:hint="eastAsia"/>
        </w:rPr>
        <w:t>课程设计思路</w:t>
      </w:r>
      <w:bookmarkEnd w:id="30"/>
      <w:bookmarkEnd w:id="31"/>
    </w:p>
    <w:p w14:paraId="5C3F8010">
      <w:r>
        <w:rPr>
          <w:rFonts w:hint="eastAsia"/>
          <w:lang w:val="en-US" w:eastAsia="zh-CN"/>
        </w:rPr>
        <w:t>（一）</w:t>
      </w:r>
      <w:r>
        <w:rPr>
          <w:rFonts w:hint="default"/>
          <w:lang w:val="en-US" w:eastAsia="zh-CN"/>
        </w:rPr>
        <w:t>教学路径设计​</w:t>
      </w:r>
    </w:p>
    <w:p w14:paraId="723A40ED">
      <w:pPr>
        <w:rPr>
          <w:rFonts w:hint="default"/>
        </w:rPr>
      </w:pPr>
      <w:r>
        <w:rPr>
          <w:rFonts w:hint="eastAsia"/>
          <w:lang w:val="en-US" w:eastAsia="zh-CN"/>
        </w:rPr>
        <w:t>1.</w:t>
      </w:r>
      <w:r>
        <w:rPr>
          <w:rFonts w:hint="default"/>
        </w:rPr>
        <w:t>理论知识讲授：依据 COSO 内部控制框架、企业内部控制基本规范等权威理论，系统讲解内部控制的五大要素，即内部环境、风险评估、控制活动、信息与沟通、内部监督。采用案例导入法，例如引入安然公司财务造假等经典案例，分析其内部控制失效的环节，引出各要素的概念与重要性，让学生在实际情境中理解抽象理论。在讲解控制活动时，结合企业常见业务流程，如采购、销售、生产等，详细剖析每个流程中的关键控制点与控制措施，使学生掌握不同业务场景下的内部控制设计方法。​</w:t>
      </w:r>
    </w:p>
    <w:p w14:paraId="2B6EC449">
      <w:pPr>
        <w:rPr>
          <w:rFonts w:hint="default"/>
        </w:rPr>
      </w:pPr>
      <w:r>
        <w:rPr>
          <w:rFonts w:hint="eastAsia"/>
          <w:lang w:val="en-US" w:eastAsia="zh-CN"/>
        </w:rPr>
        <w:t>2.</w:t>
      </w:r>
      <w:r>
        <w:rPr>
          <w:rFonts w:hint="default"/>
        </w:rPr>
        <w:t>实践教学环节：利用企业实际运营数据和模拟软件，开展内部控制流程模拟操作。让学生分组模拟企业不同部门，按照设定的内部控制制度进行业务流程操作，如财务共享服务中心的业财一体化审批系统操作：从单环节审批到采购全流程覆盖，再到跨部门协同，分初级、中级、高级模块，让学员逐步掌握业财一体化审批系统操作技能。</w:t>
      </w:r>
    </w:p>
    <w:p w14:paraId="1F71D764">
      <w:pPr>
        <w:ind w:left="0" w:leftChars="0" w:firstLine="0" w:firstLineChars="0"/>
      </w:pPr>
      <w:r>
        <w:rPr>
          <w:rFonts w:hint="default"/>
        </w:rPr>
        <w:t>智能风控平台预警响应：从基于规则的简单预警触发，到利用机器学习模型进行异常交易检测，再到对预警结果进行人工复核与响应处理，分初级、中级、高级模块，使学员熟悉智能风控平台的预警响应机制。同时，安排学生到企业实地参观学习，与企业内部控制专员、内部审计师交流，了解企业内部控制体系的实际运行情况，增强感性认识。此外，组织学生参与企业内部控制案例分析大赛，选取真实企业面临的内部控制问题，要求学生运用所学知识提出解决方案，锻炼学生分析问题和解决问题的能力。​</w:t>
      </w:r>
    </w:p>
    <w:p w14:paraId="3D328D97">
      <w:pPr>
        <w:rPr>
          <w:rFonts w:hint="default"/>
        </w:rPr>
      </w:pPr>
      <w:r>
        <w:rPr>
          <w:rFonts w:hint="eastAsia"/>
          <w:lang w:val="en-US" w:eastAsia="zh-CN"/>
        </w:rPr>
        <w:t>3.</w:t>
      </w:r>
      <w:r>
        <w:rPr>
          <w:rFonts w:hint="default"/>
        </w:rPr>
        <w:t>前沿知识拓展：定期邀请行业专家开展讲座，介绍企业内部控制领域的最新发展动态，如数字化时代下内部控制的变革、新兴技术（区块链、人工智能等）在内部控制中的应用等。引导学生关注学术前沿研究成果，安排学生阅读相关学术文献，并组织课堂讨论，鼓励学生发表自己的见解，拓宽学生的专业视野，培养学生的创新思维。​</w:t>
      </w:r>
      <w:r>
        <w:rPr>
          <w:rFonts w:hint="eastAsia"/>
          <w:lang w:eastAsia="zh-CN"/>
        </w:rPr>
        <w:t>（</w:t>
      </w:r>
      <w:r>
        <w:rPr>
          <w:rFonts w:hint="eastAsia"/>
          <w:lang w:val="en-US" w:eastAsia="zh-CN"/>
        </w:rPr>
        <w:t>二</w:t>
      </w:r>
      <w:r>
        <w:rPr>
          <w:rFonts w:hint="eastAsia"/>
          <w:lang w:eastAsia="zh-CN"/>
        </w:rPr>
        <w:t>）</w:t>
      </w:r>
      <w:r>
        <w:rPr>
          <w:rFonts w:hint="default"/>
          <w:lang w:val="en-US" w:eastAsia="zh-CN"/>
        </w:rPr>
        <w:t>教学评价设计​</w:t>
      </w:r>
    </w:p>
    <w:p w14:paraId="0A2B21BB">
      <w:bookmarkStart w:id="33" w:name="OLE_LINK29"/>
      <w:r>
        <w:rPr>
          <w:rFonts w:hint="eastAsia"/>
          <w:lang w:val="en-US" w:eastAsia="zh-CN"/>
        </w:rPr>
        <w:t>1.</w:t>
      </w:r>
      <w:r>
        <w:rPr>
          <w:rFonts w:hint="default"/>
        </w:rPr>
        <w:t>多元化考核方式：课程成绩由多个部分组成，包括平时成绩（</w:t>
      </w:r>
      <w:r>
        <w:rPr>
          <w:rFonts w:hint="eastAsia"/>
          <w:lang w:val="en-US" w:eastAsia="zh-CN"/>
        </w:rPr>
        <w:t>40%</w:t>
      </w:r>
      <w:r>
        <w:rPr>
          <w:rFonts w:hint="default"/>
        </w:rPr>
        <w:t>）和期末考核成绩（</w:t>
      </w:r>
      <w:r>
        <w:rPr>
          <w:rFonts w:hint="eastAsia"/>
          <w:lang w:val="en-US" w:eastAsia="zh-CN"/>
        </w:rPr>
        <w:t>60</w:t>
      </w:r>
      <w:r>
        <w:rPr>
          <w:rFonts w:hint="default"/>
        </w:rPr>
        <w:t>%）。平时成绩涵盖</w:t>
      </w:r>
      <w:r>
        <w:rPr>
          <w:rFonts w:hint="eastAsia"/>
          <w:lang w:val="en-US" w:eastAsia="zh-CN"/>
        </w:rPr>
        <w:t>考勤（10%），通过学生的到课率进行评价；</w:t>
      </w:r>
      <w:r>
        <w:rPr>
          <w:rFonts w:hint="default"/>
        </w:rPr>
        <w:t>课堂表现（10%），通过学生的课堂参与度、回答问题的质量等进行评价；作业完成情况（10%），布置与课程内容紧密相关的作业，如案例分析报告、内部控制制度设计等，考察学生对知识的掌握和应用能力；小组项目（10%），以小组形式完成企业内部控制模拟实践项目，根据小组整体表现和个人在小组中的贡献进行评分。期末考核则采用综合性案例分析和论述题相结合的方式，一方面通过案例分析考察学生运用知识解决实际问题的能力，另一方面通过论述题考察学生对内部控制前沿问题的理解和思考。​</w:t>
      </w:r>
    </w:p>
    <w:bookmarkEnd w:id="33"/>
    <w:p w14:paraId="577AA6C9">
      <w:r>
        <w:rPr>
          <w:rFonts w:hint="default"/>
        </w:rPr>
        <w:t>过程性评价：在教学过程中，利用在线学习平台对学生的学习过程进行跟踪和评价。教师可以实时查看学生的学习进度、作业提交情况、在线测试成绩等数据，及时发现学生学习中存在的问题，并给予针对性的指导。同时，通过在线讨论区、小组协作平台等工具，鼓励学生之间相互交流和评价，促进学生共同进步。例如，在小组项目中，学生可以对小组其他成员的表现进行互评，评价内容包括团队协作能力、任务完成质量等方面，教师综合学生自评、互评和教师评价结果，对学生的小组项目表现进行全面评价。​</w:t>
      </w:r>
    </w:p>
    <w:p w14:paraId="75B8334C">
      <w:r>
        <w:rPr>
          <w:rFonts w:hint="default"/>
        </w:rPr>
        <w:t>反馈与改进机制：定期收集学生对课程教学的反馈意见，通过问卷调查、学生座谈会等方式，了解学生对教学内容、教学方法、教学评价等方面的满意度和建议。教师根据学生反馈，及时调整教学策略和方法，改进教学内容，优化教学评价体系，不断提高课程教学质量。例如，如果学生反馈实践教学环节中模拟软件操作难度较大，教师可以增加软件操作培训课程，提供详细的操作指南，帮助学生更好地完成实践任务。​</w:t>
      </w:r>
    </w:p>
    <w:p w14:paraId="1FAF8008">
      <w:pPr>
        <w:rPr>
          <w:rFonts w:hint="default"/>
        </w:rPr>
      </w:pPr>
      <w:r>
        <w:rPr>
          <w:rFonts w:hint="default"/>
          <w:lang w:val="en-US" w:eastAsia="zh-CN"/>
        </w:rPr>
        <w:t>三、课程思政设计​</w:t>
      </w:r>
    </w:p>
    <w:p w14:paraId="302F74B9">
      <w:r>
        <w:rPr>
          <w:rFonts w:hint="default"/>
        </w:rPr>
        <w:t>思政元素融入教学内容：在讲解内部控制的内部环境要素时，将企业文化建设与思政教育相结合，引导学生树立正确的价值观和职业道德观。例如，通过分析华为公司以 “以客户为中心，以奋斗者为本” 的企业文化，培养学生的敬业精神和服务意识；在讲解风险评估时，引入企业社会责任风险案例，如企业环境污染事件，让学生认识到企业在追求经济利益的同时，必须承担社会责任，增强学生的社会责任感和环保意识。在讲解内部控制的监督与评价时，强调诚信和廉洁的重要性，通过案例分析，教育学生在工作中要坚守道德底线，杜绝舞弊行为。​</w:t>
      </w:r>
    </w:p>
    <w:p w14:paraId="75D88987">
      <w:r>
        <w:rPr>
          <w:rFonts w:hint="default"/>
        </w:rPr>
        <w:t>思政教育贯穿教学过程：在课堂教学中，教师注重言传身教，以自身的严谨治学态度、敬业精神和道德风范影响学生。在小组讨论、项目实践等教学活动中，培养学生的团队协作精神、沟通能力和创新能力，同时引导学生树立正确的竞争观念，鼓励学生通过正当竞争实现个人和团队目标。例如，在小组项目中，要求学生共同完成企业内部控制制度设计任务，在团队协作过程中，学生学会相互尊重、相互支持，共同克服困难，培养了团队合作精神和集体荣誉感。​</w:t>
      </w:r>
    </w:p>
    <w:p w14:paraId="73A59379">
      <w:pPr>
        <w:rPr>
          <w:rFonts w:hint="default"/>
        </w:rPr>
      </w:pPr>
      <w:r>
        <w:rPr>
          <w:rFonts w:hint="default"/>
        </w:rPr>
        <w:t>思政教育考核评价：将思政教育纳入课程考核评价体系，在平时成绩、小组项目和期末考核中设置思政教育相关的评价指标。例如，在平时成绩的课堂表现评价中，关注学生在讨论企业社会责任等思政相关话题时的参与度和观点表达；在小组项目评价中，考察学生在团队协作过程中是否体现了团队精神、诚信意识等思政要素；在期末考核的案例分析和论述题中，设置与思政教育相关的问题，如要求学生分析企业内部控制与企业社会责任之间的关系，考察学生对思政知识的理解和运用能力。</w:t>
      </w:r>
    </w:p>
    <w:p w14:paraId="4757110D">
      <w:pPr>
        <w:rPr>
          <w:rFonts w:hint="default"/>
        </w:rPr>
      </w:pPr>
    </w:p>
    <w:p w14:paraId="5413D5FA">
      <w:pPr>
        <w:rPr>
          <w:rFonts w:hint="default"/>
        </w:rPr>
      </w:pPr>
    </w:p>
    <w:p w14:paraId="6CE58632">
      <w:pPr>
        <w:rPr>
          <w:rFonts w:hint="default"/>
        </w:rPr>
      </w:pPr>
    </w:p>
    <w:p w14:paraId="3DD019E5">
      <w:pPr>
        <w:rPr>
          <w:rFonts w:hint="default"/>
        </w:rPr>
      </w:pPr>
    </w:p>
    <w:p w14:paraId="31CF9B04">
      <w:pPr>
        <w:rPr>
          <w:rFonts w:hint="default"/>
        </w:rPr>
      </w:pPr>
    </w:p>
    <w:bookmarkEnd w:id="32"/>
    <w:p w14:paraId="2B4F2DD5">
      <w:pPr>
        <w:pStyle w:val="2"/>
        <w:ind w:firstLine="0" w:firstLineChars="0"/>
      </w:pPr>
      <w:bookmarkStart w:id="34" w:name="_Toc22652"/>
      <w:bookmarkStart w:id="35" w:name="_Toc11466"/>
      <w:r>
        <w:rPr>
          <w:rFonts w:hint="eastAsia"/>
        </w:rPr>
        <w:t>六、课程结构与内容</w:t>
      </w:r>
      <w:bookmarkEnd w:id="34"/>
      <w:bookmarkEnd w:id="35"/>
      <w:bookmarkStart w:id="36" w:name="_Toc19213"/>
      <w:bookmarkStart w:id="37" w:name="_Toc7467"/>
    </w:p>
    <w:p w14:paraId="73D65FA6">
      <w:pPr>
        <w:ind w:firstLine="480"/>
        <w:jc w:val="center"/>
        <w:rPr>
          <w:rFonts w:ascii="仿宋_GB2312" w:hAnsi="仿宋_GB2312" w:cs="仿宋_GB2312"/>
          <w:b/>
          <w:bCs/>
          <w:sz w:val="24"/>
          <w:szCs w:val="21"/>
        </w:rPr>
      </w:pPr>
      <w:r>
        <w:rPr>
          <w:rFonts w:hint="eastAsia" w:ascii="仿宋_GB2312" w:hAnsi="仿宋_GB2312" w:cs="仿宋_GB2312"/>
          <w:b/>
          <w:bCs/>
          <w:sz w:val="24"/>
          <w:szCs w:val="21"/>
        </w:rPr>
        <w:t>表3. 课程设计方案</w:t>
      </w:r>
      <w:bookmarkEnd w:id="36"/>
      <w:bookmarkEnd w:id="37"/>
    </w:p>
    <w:tbl>
      <w:tblPr>
        <w:tblStyle w:val="14"/>
        <w:tblW w:w="894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75"/>
        <w:gridCol w:w="1202"/>
        <w:gridCol w:w="1183"/>
        <w:gridCol w:w="1936"/>
        <w:gridCol w:w="1842"/>
        <w:gridCol w:w="1843"/>
        <w:gridCol w:w="567"/>
      </w:tblGrid>
      <w:tr w14:paraId="1E275A0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tcBorders>
              <w:tl2br w:val="nil"/>
              <w:tr2bl w:val="nil"/>
            </w:tcBorders>
            <w:vAlign w:val="center"/>
          </w:tcPr>
          <w:p w14:paraId="54D61122">
            <w:pPr>
              <w:keepNext w:val="0"/>
              <w:keepLines w:val="0"/>
              <w:suppressLineNumbers w:val="0"/>
              <w:spacing w:before="0" w:beforeAutospacing="0" w:after="0" w:afterAutospacing="0"/>
              <w:ind w:left="0" w:right="0" w:firstLine="0" w:firstLineChars="0"/>
              <w:jc w:val="center"/>
              <w:rPr>
                <w:rFonts w:hint="default"/>
                <w:b/>
                <w:bCs/>
                <w:sz w:val="24"/>
                <w:szCs w:val="24"/>
              </w:rPr>
            </w:pPr>
            <w:r>
              <w:rPr>
                <w:rFonts w:hint="eastAsia"/>
                <w:b/>
                <w:bCs/>
                <w:sz w:val="24"/>
                <w:szCs w:val="24"/>
              </w:rPr>
              <w:t>序号</w:t>
            </w:r>
          </w:p>
        </w:tc>
        <w:tc>
          <w:tcPr>
            <w:tcW w:w="1202" w:type="dxa"/>
            <w:tcBorders>
              <w:tl2br w:val="nil"/>
              <w:tr2bl w:val="nil"/>
            </w:tcBorders>
            <w:vAlign w:val="center"/>
          </w:tcPr>
          <w:p w14:paraId="7BC8D5AF">
            <w:pPr>
              <w:keepNext w:val="0"/>
              <w:keepLines w:val="0"/>
              <w:suppressLineNumbers w:val="0"/>
              <w:spacing w:before="0" w:beforeAutospacing="0" w:after="0" w:afterAutospacing="0"/>
              <w:ind w:left="0" w:right="0" w:firstLine="0" w:firstLineChars="0"/>
              <w:jc w:val="center"/>
              <w:rPr>
                <w:rFonts w:hint="default"/>
                <w:b/>
                <w:bCs/>
                <w:sz w:val="24"/>
                <w:szCs w:val="24"/>
              </w:rPr>
            </w:pPr>
            <w:r>
              <w:rPr>
                <w:rFonts w:hint="eastAsia"/>
                <w:b/>
                <w:bCs/>
                <w:sz w:val="24"/>
                <w:szCs w:val="24"/>
              </w:rPr>
              <w:t>课程内容</w:t>
            </w:r>
          </w:p>
          <w:p w14:paraId="758C610F">
            <w:pPr>
              <w:keepNext w:val="0"/>
              <w:keepLines w:val="0"/>
              <w:suppressLineNumbers w:val="0"/>
              <w:spacing w:before="0" w:beforeAutospacing="0" w:after="0" w:afterAutospacing="0"/>
              <w:ind w:left="0" w:right="0" w:firstLine="0" w:firstLineChars="0"/>
              <w:jc w:val="center"/>
              <w:rPr>
                <w:rFonts w:hint="default"/>
                <w:b/>
                <w:bCs/>
                <w:sz w:val="24"/>
                <w:szCs w:val="24"/>
              </w:rPr>
            </w:pPr>
            <w:r>
              <w:rPr>
                <w:rFonts w:hint="eastAsia"/>
                <w:b/>
                <w:bCs/>
                <w:sz w:val="24"/>
                <w:szCs w:val="24"/>
              </w:rPr>
              <w:t>（模块/项目）</w:t>
            </w:r>
          </w:p>
        </w:tc>
        <w:tc>
          <w:tcPr>
            <w:tcW w:w="1183" w:type="dxa"/>
            <w:tcBorders>
              <w:tl2br w:val="nil"/>
              <w:tr2bl w:val="nil"/>
            </w:tcBorders>
            <w:vAlign w:val="center"/>
          </w:tcPr>
          <w:p w14:paraId="668808BC">
            <w:pPr>
              <w:keepNext w:val="0"/>
              <w:keepLines w:val="0"/>
              <w:suppressLineNumbers w:val="0"/>
              <w:spacing w:before="0" w:beforeAutospacing="0" w:after="0" w:afterAutospacing="0"/>
              <w:ind w:left="0" w:right="0" w:firstLine="0" w:firstLineChars="0"/>
              <w:jc w:val="center"/>
              <w:rPr>
                <w:rFonts w:hint="default"/>
                <w:b/>
                <w:bCs/>
                <w:sz w:val="24"/>
                <w:szCs w:val="24"/>
              </w:rPr>
            </w:pPr>
            <w:r>
              <w:rPr>
                <w:rFonts w:hint="eastAsia"/>
                <w:b/>
                <w:bCs/>
                <w:sz w:val="24"/>
                <w:szCs w:val="24"/>
              </w:rPr>
              <w:t>学习任务</w:t>
            </w:r>
          </w:p>
        </w:tc>
        <w:tc>
          <w:tcPr>
            <w:tcW w:w="1936" w:type="dxa"/>
            <w:tcBorders>
              <w:tl2br w:val="nil"/>
              <w:tr2bl w:val="nil"/>
            </w:tcBorders>
            <w:vAlign w:val="center"/>
          </w:tcPr>
          <w:p w14:paraId="7131E3AC">
            <w:pPr>
              <w:keepNext w:val="0"/>
              <w:keepLines w:val="0"/>
              <w:suppressLineNumbers w:val="0"/>
              <w:spacing w:before="0" w:beforeAutospacing="0" w:after="0" w:afterAutospacing="0"/>
              <w:ind w:left="0" w:right="0" w:firstLine="0" w:firstLineChars="0"/>
              <w:jc w:val="center"/>
              <w:rPr>
                <w:rFonts w:hint="default"/>
                <w:b/>
                <w:bCs/>
                <w:sz w:val="24"/>
                <w:szCs w:val="24"/>
              </w:rPr>
            </w:pPr>
            <w:r>
              <w:rPr>
                <w:rFonts w:hint="eastAsia"/>
                <w:b/>
                <w:bCs/>
                <w:sz w:val="24"/>
                <w:szCs w:val="24"/>
              </w:rPr>
              <w:t>学习内容和要求</w:t>
            </w:r>
          </w:p>
        </w:tc>
        <w:tc>
          <w:tcPr>
            <w:tcW w:w="1842" w:type="dxa"/>
            <w:tcBorders>
              <w:tl2br w:val="nil"/>
              <w:tr2bl w:val="nil"/>
            </w:tcBorders>
            <w:vAlign w:val="center"/>
          </w:tcPr>
          <w:p w14:paraId="651A4FB0">
            <w:pPr>
              <w:keepNext w:val="0"/>
              <w:keepLines w:val="0"/>
              <w:suppressLineNumbers w:val="0"/>
              <w:spacing w:before="0" w:beforeAutospacing="0" w:after="0" w:afterAutospacing="0"/>
              <w:ind w:left="0" w:right="0" w:firstLine="0" w:firstLineChars="0"/>
              <w:jc w:val="center"/>
              <w:rPr>
                <w:rFonts w:hint="default"/>
                <w:b/>
                <w:bCs/>
                <w:sz w:val="24"/>
                <w:szCs w:val="24"/>
              </w:rPr>
            </w:pPr>
            <w:r>
              <w:rPr>
                <w:rFonts w:hint="eastAsia"/>
                <w:b/>
                <w:bCs/>
                <w:sz w:val="24"/>
                <w:szCs w:val="24"/>
              </w:rPr>
              <w:t>教学设计</w:t>
            </w:r>
          </w:p>
        </w:tc>
        <w:tc>
          <w:tcPr>
            <w:tcW w:w="1843" w:type="dxa"/>
            <w:tcBorders>
              <w:tl2br w:val="nil"/>
              <w:tr2bl w:val="nil"/>
            </w:tcBorders>
            <w:vAlign w:val="center"/>
          </w:tcPr>
          <w:p w14:paraId="044F1C86">
            <w:pPr>
              <w:keepNext w:val="0"/>
              <w:keepLines w:val="0"/>
              <w:suppressLineNumbers w:val="0"/>
              <w:spacing w:before="0" w:beforeAutospacing="0" w:after="0" w:afterAutospacing="0"/>
              <w:ind w:left="0" w:right="0" w:firstLine="0" w:firstLineChars="0"/>
              <w:jc w:val="center"/>
              <w:rPr>
                <w:rFonts w:hint="default"/>
                <w:b/>
                <w:bCs/>
                <w:sz w:val="24"/>
                <w:szCs w:val="24"/>
              </w:rPr>
            </w:pPr>
            <w:r>
              <w:rPr>
                <w:rFonts w:hint="eastAsia"/>
                <w:b/>
                <w:bCs/>
                <w:sz w:val="24"/>
                <w:szCs w:val="24"/>
              </w:rPr>
              <w:t>课程思政设计</w:t>
            </w:r>
          </w:p>
        </w:tc>
        <w:tc>
          <w:tcPr>
            <w:tcW w:w="567" w:type="dxa"/>
            <w:tcBorders>
              <w:tl2br w:val="nil"/>
              <w:tr2bl w:val="nil"/>
            </w:tcBorders>
            <w:vAlign w:val="center"/>
          </w:tcPr>
          <w:p w14:paraId="354D2C0D">
            <w:pPr>
              <w:keepNext w:val="0"/>
              <w:keepLines w:val="0"/>
              <w:suppressLineNumbers w:val="0"/>
              <w:spacing w:before="0" w:beforeAutospacing="0" w:after="0" w:afterAutospacing="0"/>
              <w:ind w:left="0" w:right="0" w:firstLine="0" w:firstLineChars="0"/>
              <w:jc w:val="center"/>
              <w:rPr>
                <w:rFonts w:hint="default"/>
                <w:b/>
                <w:bCs/>
                <w:sz w:val="24"/>
                <w:szCs w:val="24"/>
              </w:rPr>
            </w:pPr>
            <w:r>
              <w:rPr>
                <w:rFonts w:hint="eastAsia"/>
                <w:b/>
                <w:bCs/>
                <w:sz w:val="24"/>
                <w:szCs w:val="24"/>
              </w:rPr>
              <w:t>学时</w:t>
            </w:r>
          </w:p>
        </w:tc>
      </w:tr>
      <w:tr w14:paraId="146A9BE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34" w:hRule="atLeast"/>
        </w:trPr>
        <w:tc>
          <w:tcPr>
            <w:tcW w:w="375" w:type="dxa"/>
            <w:tcBorders>
              <w:tl2br w:val="nil"/>
              <w:tr2bl w:val="nil"/>
            </w:tcBorders>
            <w:vAlign w:val="center"/>
          </w:tcPr>
          <w:p w14:paraId="088A08B9">
            <w:pPr>
              <w:keepNext w:val="0"/>
              <w:keepLines w:val="0"/>
              <w:suppressLineNumbers w:val="0"/>
              <w:spacing w:before="0" w:beforeAutospacing="0" w:after="0" w:afterAutospacing="0" w:line="240" w:lineRule="auto"/>
              <w:ind w:left="0" w:right="0" w:firstLine="0" w:firstLineChars="0"/>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w:t>
            </w:r>
          </w:p>
        </w:tc>
        <w:tc>
          <w:tcPr>
            <w:tcW w:w="1202" w:type="dxa"/>
            <w:tcBorders>
              <w:tl2br w:val="nil"/>
              <w:tr2bl w:val="nil"/>
            </w:tcBorders>
            <w:vAlign w:val="center"/>
          </w:tcPr>
          <w:p w14:paraId="08C7974E">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r>
              <w:rPr>
                <w:rFonts w:hint="eastAsia" w:ascii="方正仿宋_GB2312" w:hAnsi="方正仿宋_GB2312" w:eastAsia="方正仿宋_GB2312" w:cs="方正仿宋_GB2312"/>
                <w:b w:val="0"/>
                <w:bCs w:val="0"/>
                <w:color w:val="auto"/>
                <w:sz w:val="21"/>
                <w:szCs w:val="21"/>
                <w:lang w:val="en-US" w:eastAsia="zh-CN"/>
              </w:rPr>
              <w:t>1.</w:t>
            </w:r>
            <w:bookmarkStart w:id="38" w:name="OLE_LINK7"/>
            <w:r>
              <w:rPr>
                <w:rFonts w:hint="default" w:ascii="方正仿宋_GB2312" w:hAnsi="方正仿宋_GB2312" w:eastAsia="方正仿宋_GB2312" w:cs="方正仿宋_GB2312"/>
                <w:b w:val="0"/>
                <w:bCs w:val="0"/>
                <w:color w:val="auto"/>
                <w:sz w:val="21"/>
                <w:szCs w:val="21"/>
                <w:lang w:val="en-US" w:eastAsia="zh-CN"/>
              </w:rPr>
              <w:t>内部控制概述</w:t>
            </w:r>
            <w:bookmarkEnd w:id="38"/>
          </w:p>
          <w:p w14:paraId="68FC45DA">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183" w:type="dxa"/>
            <w:tcBorders>
              <w:tl2br w:val="nil"/>
              <w:tr2bl w:val="nil"/>
            </w:tcBorders>
            <w:vAlign w:val="center"/>
          </w:tcPr>
          <w:p w14:paraId="22632DAD">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理解内部控制的基本概念、目标、重要性，熟悉内部控制的主要要素与框架体系</w:t>
            </w:r>
          </w:p>
        </w:tc>
        <w:tc>
          <w:tcPr>
            <w:tcW w:w="1936" w:type="dxa"/>
            <w:tcBorders>
              <w:tl2br w:val="nil"/>
              <w:tr2bl w:val="nil"/>
            </w:tcBorders>
            <w:vAlign w:val="center"/>
          </w:tcPr>
          <w:p w14:paraId="0FA7AE13">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学习内容：</w:t>
            </w:r>
          </w:p>
          <w:p w14:paraId="081E95BC">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r>
              <w:rPr>
                <w:rFonts w:hint="default" w:ascii="仿宋_GB2312"/>
                <w:sz w:val="24"/>
                <w:szCs w:val="24"/>
                <w:lang w:val="en-US" w:eastAsia="zh-CN"/>
              </w:rPr>
              <w:t>（一）内部控制基础理论​</w:t>
            </w:r>
          </w:p>
          <w:p w14:paraId="56FB176F">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p>
          <w:p w14:paraId="29E7BAA7">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r>
              <w:rPr>
                <w:rFonts w:hint="default" w:ascii="仿宋_GB2312"/>
                <w:sz w:val="24"/>
                <w:szCs w:val="24"/>
                <w:lang w:val="en-US" w:eastAsia="zh-CN"/>
              </w:rPr>
              <w:t>（二）内部控制要素​</w:t>
            </w:r>
          </w:p>
          <w:p w14:paraId="2071F165">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r>
              <w:rPr>
                <w:rFonts w:hint="default" w:ascii="仿宋_GB2312"/>
                <w:sz w:val="24"/>
                <w:szCs w:val="24"/>
              </w:rPr>
              <w:t>实情况。​</w:t>
            </w:r>
          </w:p>
          <w:p w14:paraId="6F73F217">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r>
              <w:rPr>
                <w:rFonts w:hint="default" w:ascii="仿宋_GB2312"/>
                <w:sz w:val="24"/>
                <w:szCs w:val="24"/>
                <w:lang w:val="en-US" w:eastAsia="zh-CN"/>
              </w:rPr>
              <w:t>（三）内部控制框架体系​</w:t>
            </w:r>
          </w:p>
          <w:p w14:paraId="2ACEB5F9">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要求：</w:t>
            </w:r>
          </w:p>
          <w:p w14:paraId="1E593C15">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bookmarkStart w:id="39" w:name="OLE_LINK10"/>
            <w:r>
              <w:rPr>
                <w:rFonts w:hint="eastAsia" w:ascii="仿宋_GB2312"/>
                <w:sz w:val="24"/>
                <w:szCs w:val="24"/>
                <w:lang w:val="en-US" w:eastAsia="zh-CN"/>
              </w:rPr>
              <w:t>（一）知识掌握</w:t>
            </w:r>
          </w:p>
          <w:p w14:paraId="0D5D77A4">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准确记忆内部控制的定义、目标、要素等核心概念，能够用自己的语言清晰阐述。​</w:t>
            </w:r>
          </w:p>
          <w:p w14:paraId="43A25CA1">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熟悉不同内部控制要素的具体内容和相互关系，理解内部控制框架体系的逻辑结构。​</w:t>
            </w:r>
          </w:p>
          <w:p w14:paraId="758FACBD">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（二）能力培养</w:t>
            </w:r>
          </w:p>
          <w:p w14:paraId="2C67775D">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能够运用内部控制理论知识，对给定的企业案例进行分析，识别其中存在的内部控制问题，并提出合理的改进建议。培养批判性思维能力，对不同的内部控制观点和方法进行比较分析，形成自己独立的见解，并能够在团队讨论和交流中清晰表达。</w:t>
            </w:r>
          </w:p>
          <w:bookmarkEnd w:id="39"/>
          <w:p w14:paraId="05F6C78B">
            <w:pPr>
              <w:keepNext w:val="0"/>
              <w:keepLines w:val="0"/>
              <w:suppressLineNumbers w:val="0"/>
              <w:spacing w:before="0" w:beforeAutospacing="0" w:after="0" w:afterAutospacing="0" w:line="240" w:lineRule="auto"/>
              <w:ind w:left="0" w:right="0" w:firstLine="0" w:firstLineChars="0"/>
              <w:rPr>
                <w:rFonts w:hint="eastAsia" w:ascii="仿宋_GB2312" w:eastAsia="仿宋_GB2312"/>
                <w:sz w:val="24"/>
                <w:szCs w:val="24"/>
                <w:lang w:val="en-US" w:eastAsia="zh-CN"/>
              </w:rPr>
            </w:pPr>
          </w:p>
          <w:p w14:paraId="00835D36">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p>
        </w:tc>
        <w:tc>
          <w:tcPr>
            <w:tcW w:w="1842" w:type="dxa"/>
            <w:tcBorders>
              <w:tl2br w:val="nil"/>
              <w:tr2bl w:val="nil"/>
            </w:tcBorders>
          </w:tcPr>
          <w:p w14:paraId="454E5F81">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lang w:val="en-US" w:eastAsia="zh-CN"/>
              </w:rPr>
              <w:t>（一）教学目标</w:t>
            </w:r>
          </w:p>
          <w:p w14:paraId="63DE5820">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eastAsia" w:ascii="仿宋_GB2312" w:hAnsi="仿宋_GB2312" w:cs="仿宋_GB2312"/>
                <w:sz w:val="24"/>
                <w:szCs w:val="24"/>
                <w:lang w:val="en-US" w:eastAsia="zh-CN"/>
              </w:rPr>
              <w:t>1.</w:t>
            </w:r>
            <w:r>
              <w:rPr>
                <w:rFonts w:hint="default" w:ascii="仿宋_GB2312" w:hAnsi="仿宋_GB2312" w:cs="仿宋_GB2312"/>
                <w:sz w:val="24"/>
                <w:szCs w:val="24"/>
              </w:rPr>
              <w:t>知识目标​</w:t>
            </w:r>
          </w:p>
          <w:p w14:paraId="3E67A166">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rPr>
              <w:t>学生能够精准阐述内部控制的定义、目标、要素及框架体系的核心内容。</w:t>
            </w:r>
          </w:p>
          <w:p w14:paraId="576D3D85">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rPr>
              <w:t>深度理解内部控制各组成部分的相互关系与协同作用机制。​</w:t>
            </w:r>
          </w:p>
          <w:p w14:paraId="1C6C9CD4">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eastAsia" w:ascii="仿宋_GB2312" w:hAnsi="仿宋_GB2312" w:cs="仿宋_GB2312"/>
                <w:sz w:val="24"/>
                <w:szCs w:val="24"/>
                <w:lang w:val="en-US" w:eastAsia="zh-CN"/>
              </w:rPr>
              <w:t>2.</w:t>
            </w:r>
            <w:r>
              <w:rPr>
                <w:rFonts w:hint="default" w:ascii="仿宋_GB2312" w:hAnsi="仿宋_GB2312" w:cs="仿宋_GB2312"/>
                <w:sz w:val="24"/>
                <w:szCs w:val="24"/>
              </w:rPr>
              <w:t>能力目标​</w:t>
            </w:r>
          </w:p>
          <w:p w14:paraId="69459187">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rPr>
              <w:t>培养学生运用内部控制理论分析企业实际案例，准确识别内部控制问题并提出切实可行改进策略的能力。​</w:t>
            </w:r>
          </w:p>
          <w:p w14:paraId="4B371979">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eastAsia" w:ascii="仿宋_GB2312" w:hAnsi="仿宋_GB2312" w:cs="仿宋_GB2312"/>
                <w:sz w:val="24"/>
                <w:szCs w:val="24"/>
                <w:lang w:val="en-US" w:eastAsia="zh-CN"/>
              </w:rPr>
              <w:t>3.</w:t>
            </w:r>
            <w:r>
              <w:rPr>
                <w:rFonts w:hint="default" w:ascii="仿宋_GB2312" w:hAnsi="仿宋_GB2312" w:cs="仿宋_GB2312"/>
                <w:sz w:val="24"/>
                <w:szCs w:val="24"/>
              </w:rPr>
              <w:t>素质目标​</w:t>
            </w:r>
          </w:p>
          <w:p w14:paraId="38600546">
            <w:pPr>
              <w:keepNext w:val="0"/>
              <w:keepLines w:val="0"/>
              <w:suppressLineNumbers w:val="0"/>
              <w:spacing w:before="0" w:beforeAutospacing="0" w:after="0" w:afterAutospacing="0" w:line="240" w:lineRule="auto"/>
              <w:ind w:left="0" w:right="0" w:firstLine="0" w:firstLineChars="0"/>
              <w:rPr>
                <w:rFonts w:hint="eastAsia" w:ascii="仿宋_GB2312" w:hAnsi="仿宋_GB2312" w:cs="仿宋_GB2312"/>
                <w:sz w:val="24"/>
                <w:szCs w:val="24"/>
                <w:lang w:eastAsia="zh-CN"/>
              </w:rPr>
            </w:pPr>
            <w:r>
              <w:rPr>
                <w:rFonts w:hint="default" w:ascii="仿宋_GB2312" w:hAnsi="仿宋_GB2312" w:cs="仿宋_GB2312"/>
                <w:sz w:val="24"/>
                <w:szCs w:val="24"/>
              </w:rPr>
              <w:t>塑造学生严谨认真、注重细节的职业素养，使其在面对复杂业务时能够保持审慎态度。</w:t>
            </w:r>
          </w:p>
          <w:p w14:paraId="2A3619E2">
            <w:pPr>
              <w:keepNext w:val="0"/>
              <w:keepLines w:val="0"/>
              <w:numPr>
                <w:ilvl w:val="0"/>
                <w:numId w:val="8"/>
              </w:numPr>
              <w:suppressLineNumbers w:val="0"/>
              <w:spacing w:before="0" w:beforeAutospacing="0" w:after="0" w:afterAutospacing="0" w:line="240" w:lineRule="auto"/>
              <w:ind w:left="0" w:right="0"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教学方法</w:t>
            </w:r>
          </w:p>
          <w:p w14:paraId="33222D70">
            <w:pPr>
              <w:keepNext w:val="0"/>
              <w:keepLines w:val="0"/>
              <w:numPr>
                <w:ilvl w:val="0"/>
                <w:numId w:val="0"/>
              </w:numPr>
              <w:suppressLineNumbers w:val="0"/>
              <w:spacing w:before="0" w:beforeAutospacing="0" w:after="0" w:afterAutospacing="0" w:line="240" w:lineRule="auto"/>
              <w:ind w:left="0" w:right="0"/>
              <w:rPr>
                <w:rFonts w:hint="default" w:ascii="仿宋_GB2312" w:hAnsi="仿宋_GB2312" w:cs="仿宋_GB2312"/>
                <w:sz w:val="24"/>
                <w:szCs w:val="24"/>
                <w:lang w:val="en-US" w:eastAsia="zh-CN"/>
              </w:rPr>
            </w:pPr>
            <w:r>
              <w:rPr>
                <w:rFonts w:hint="default" w:ascii="仿宋_GB2312" w:hAnsi="仿宋_GB2312" w:cs="仿宋_GB2312"/>
                <w:sz w:val="24"/>
                <w:szCs w:val="24"/>
                <w:lang w:val="en-US" w:eastAsia="zh-CN"/>
              </w:rPr>
              <w:t>案例教学法：引入丰富的企业实际案例，组织学生分组讨论，引导学生运用所学知识分析案例中的内部控制问题，提出解决方案，培养学生的问题解决能力和团队协作能力。​</w:t>
            </w:r>
          </w:p>
          <w:p w14:paraId="3EA0B093">
            <w:pPr>
              <w:keepNext w:val="0"/>
              <w:keepLines w:val="0"/>
              <w:numPr>
                <w:ilvl w:val="0"/>
                <w:numId w:val="0"/>
              </w:numPr>
              <w:suppressLineNumbers w:val="0"/>
              <w:spacing w:before="0" w:beforeAutospacing="0" w:after="0" w:afterAutospacing="0" w:line="240" w:lineRule="auto"/>
              <w:ind w:left="0" w:right="0"/>
              <w:rPr>
                <w:rFonts w:hint="default" w:ascii="仿宋_GB2312" w:hAnsi="仿宋_GB2312" w:cs="仿宋_GB2312"/>
                <w:sz w:val="24"/>
                <w:szCs w:val="24"/>
                <w:lang w:val="en-US" w:eastAsia="zh-CN"/>
              </w:rPr>
            </w:pPr>
            <w:r>
              <w:rPr>
                <w:rFonts w:hint="default" w:ascii="仿宋_GB2312" w:hAnsi="仿宋_GB2312" w:cs="仿宋_GB2312"/>
                <w:sz w:val="24"/>
                <w:szCs w:val="24"/>
                <w:lang w:val="en-US" w:eastAsia="zh-CN"/>
              </w:rPr>
              <w:t>情境模拟法：设置模拟企业经营场景，让学生扮演不同角色，参与业务流程的内部控制设计与执行，增强学生的实践体验和操作能力。</w:t>
            </w:r>
          </w:p>
          <w:p w14:paraId="758DE704">
            <w:pPr>
              <w:keepNext w:val="0"/>
              <w:keepLines w:val="0"/>
              <w:numPr>
                <w:ilvl w:val="0"/>
                <w:numId w:val="0"/>
              </w:numPr>
              <w:suppressLineNumbers w:val="0"/>
              <w:spacing w:before="0" w:beforeAutospacing="0" w:after="0" w:afterAutospacing="0" w:line="240" w:lineRule="auto"/>
              <w:ind w:left="0" w:right="0"/>
              <w:rPr>
                <w:rFonts w:hint="default" w:ascii="仿宋_GB2312" w:hAnsi="仿宋_GB2312" w:cs="仿宋_GB2312"/>
                <w:sz w:val="24"/>
                <w:szCs w:val="24"/>
                <w:lang w:val="en-US" w:eastAsia="zh-CN"/>
              </w:rPr>
            </w:pPr>
            <w:r>
              <w:rPr>
                <w:rFonts w:hint="default" w:ascii="仿宋_GB2312" w:hAnsi="仿宋_GB2312" w:cs="仿宋_GB2312"/>
                <w:sz w:val="24"/>
                <w:szCs w:val="24"/>
                <w:lang w:val="en-US" w:eastAsia="zh-CN"/>
              </w:rPr>
              <w:t>讲授法：对于核心概念、理论框架等重点内容，通过清晰、系统的讲授，确保学生准确理解和掌握基础知识。</w:t>
            </w:r>
          </w:p>
          <w:p w14:paraId="2CE6F5D7">
            <w:pPr>
              <w:keepNext w:val="0"/>
              <w:keepLines w:val="0"/>
              <w:numPr>
                <w:ilvl w:val="0"/>
                <w:numId w:val="0"/>
              </w:numPr>
              <w:suppressLineNumbers w:val="0"/>
              <w:spacing w:before="0" w:beforeAutospacing="0" w:after="0" w:afterAutospacing="0" w:line="240" w:lineRule="auto"/>
              <w:ind w:left="0" w:right="0"/>
              <w:rPr>
                <w:rFonts w:hint="default" w:ascii="仿宋_GB2312" w:hAnsi="仿宋_GB2312" w:cs="仿宋_GB2312"/>
                <w:sz w:val="24"/>
                <w:szCs w:val="24"/>
                <w:lang w:val="en-US" w:eastAsia="zh-CN"/>
              </w:rPr>
            </w:pPr>
          </w:p>
          <w:p w14:paraId="62102D5A">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843" w:type="dxa"/>
            <w:tcBorders>
              <w:tl2br w:val="nil"/>
              <w:tr2bl w:val="nil"/>
            </w:tcBorders>
          </w:tcPr>
          <w:p w14:paraId="2DA4A07F">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rPr>
              <w:t>选取蕴含思政元素的企业内部控制案例，如企业因违反职业道德导致内部控制失效的案例，组织学生进行分析讨论，引导学生从中汲取教训，树立正确的职业道德观念。​</w:t>
            </w:r>
          </w:p>
          <w:p w14:paraId="2C6C7083">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567" w:type="dxa"/>
            <w:tcBorders>
              <w:tl2br w:val="nil"/>
              <w:tr2bl w:val="nil"/>
            </w:tcBorders>
            <w:vAlign w:val="center"/>
          </w:tcPr>
          <w:p w14:paraId="6043D7D9">
            <w:pPr>
              <w:keepNext w:val="0"/>
              <w:keepLines w:val="0"/>
              <w:suppressLineNumbers w:val="0"/>
              <w:spacing w:before="0" w:beforeAutospacing="0" w:after="0" w:afterAutospacing="0"/>
              <w:ind w:left="0" w:right="0"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6</w:t>
            </w:r>
          </w:p>
        </w:tc>
      </w:tr>
      <w:tr w14:paraId="085260E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12" w:hRule="atLeast"/>
        </w:trPr>
        <w:tc>
          <w:tcPr>
            <w:tcW w:w="375" w:type="dxa"/>
            <w:tcBorders>
              <w:tl2br w:val="nil"/>
              <w:tr2bl w:val="nil"/>
            </w:tcBorders>
            <w:vAlign w:val="center"/>
          </w:tcPr>
          <w:p w14:paraId="19A62111">
            <w:pPr>
              <w:keepNext w:val="0"/>
              <w:keepLines w:val="0"/>
              <w:suppressLineNumbers w:val="0"/>
              <w:spacing w:before="0" w:beforeAutospacing="0" w:after="0" w:afterAutospacing="0" w:line="240" w:lineRule="auto"/>
              <w:ind w:left="0" w:right="0" w:firstLine="0" w:firstLineChars="0"/>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2</w:t>
            </w:r>
          </w:p>
        </w:tc>
        <w:tc>
          <w:tcPr>
            <w:tcW w:w="1202" w:type="dxa"/>
            <w:tcBorders>
              <w:tl2br w:val="nil"/>
              <w:tr2bl w:val="nil"/>
            </w:tcBorders>
            <w:vAlign w:val="center"/>
          </w:tcPr>
          <w:p w14:paraId="2F5A9B3C">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bookmarkStart w:id="40" w:name="OLE_LINK8"/>
            <w:r>
              <w:rPr>
                <w:rFonts w:hint="default" w:ascii="方正仿宋_GB2312" w:hAnsi="方正仿宋_GB2312" w:eastAsia="方正仿宋_GB2312" w:cs="方正仿宋_GB2312"/>
                <w:b w:val="0"/>
                <w:bCs w:val="0"/>
                <w:color w:val="auto"/>
                <w:sz w:val="21"/>
                <w:szCs w:val="21"/>
                <w:lang w:val="en-US" w:eastAsia="zh-CN"/>
              </w:rPr>
              <w:t>2. 内部控制框架</w:t>
            </w:r>
          </w:p>
          <w:bookmarkEnd w:id="40"/>
          <w:p w14:paraId="636B2DAA">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83" w:type="dxa"/>
            <w:tcBorders>
              <w:tl2br w:val="nil"/>
              <w:tr2bl w:val="nil"/>
            </w:tcBorders>
            <w:vAlign w:val="center"/>
          </w:tcPr>
          <w:p w14:paraId="6B2B8712">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bookmarkStart w:id="41" w:name="OLE_LINK11"/>
            <w:r>
              <w:rPr>
                <w:rFonts w:hint="default" w:ascii="仿宋_GB2312" w:hAnsi="仿宋_GB2312" w:cs="仿宋_GB2312"/>
                <w:sz w:val="24"/>
                <w:szCs w:val="24"/>
              </w:rPr>
              <w:t>全面且精准地掌握 COSO 内部控制框架、ERM 框架等国际主流框架以及我国企业内部控制规范体系的核心要点、显著特点与适用范围。​</w:t>
            </w:r>
          </w:p>
          <w:p w14:paraId="25EECDB9">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深入理解不同内部控制框架的演变历程，清晰把握各框架内部要素间的逻辑关联。</w:t>
            </w:r>
          </w:p>
          <w:bookmarkEnd w:id="41"/>
          <w:p w14:paraId="59AA55C9">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936" w:type="dxa"/>
            <w:tcBorders>
              <w:tl2br w:val="nil"/>
              <w:tr2bl w:val="nil"/>
            </w:tcBorders>
            <w:vAlign w:val="center"/>
          </w:tcPr>
          <w:p w14:paraId="5F400498">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lang w:val="en-US" w:eastAsia="zh-CN"/>
              </w:rPr>
              <w:t>学习内容​</w:t>
            </w:r>
          </w:p>
          <w:p w14:paraId="5297C29A">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lang w:val="en-US" w:eastAsia="zh-CN"/>
              </w:rPr>
              <w:t>（一）内部控制框架基础认知​</w:t>
            </w:r>
          </w:p>
          <w:p w14:paraId="29BFA00C">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rPr>
              <w:t>​</w:t>
            </w:r>
          </w:p>
          <w:p w14:paraId="781B42EF">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lang w:val="en-US" w:eastAsia="zh-CN"/>
              </w:rPr>
              <w:t>（二）国际主流内部控制框架详解​</w:t>
            </w:r>
          </w:p>
          <w:p w14:paraId="3C1DE601">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rPr>
              <w:t>​</w:t>
            </w:r>
          </w:p>
          <w:p w14:paraId="030C3C5F">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lang w:val="en-US" w:eastAsia="zh-CN"/>
              </w:rPr>
              <w:t>（三）我国企业内部控制规范体系解读​</w:t>
            </w:r>
          </w:p>
          <w:p w14:paraId="2A23ED86">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rPr>
              <w:t>​</w:t>
            </w:r>
          </w:p>
          <w:p w14:paraId="27D7DC66">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lang w:val="en-US" w:eastAsia="zh-CN"/>
              </w:rPr>
              <w:t>（四）内部控制框架的选择与应用​</w:t>
            </w:r>
          </w:p>
          <w:p w14:paraId="317360E9">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lang w:val="en-US" w:eastAsia="zh-CN"/>
              </w:rPr>
              <w:t>要求</w:t>
            </w:r>
            <w:r>
              <w:rPr>
                <w:rFonts w:hint="eastAsia" w:ascii="仿宋_GB2312" w:hAnsi="仿宋_GB2312" w:cs="仿宋_GB2312"/>
                <w:sz w:val="24"/>
                <w:szCs w:val="24"/>
                <w:lang w:val="en-US" w:eastAsia="zh-CN"/>
              </w:rPr>
              <w:t>：</w:t>
            </w:r>
          </w:p>
          <w:p w14:paraId="66CAAB12">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bookmarkStart w:id="42" w:name="OLE_LINK28"/>
            <w:r>
              <w:rPr>
                <w:rFonts w:hint="default" w:ascii="仿宋_GB2312" w:hAnsi="仿宋_GB2312" w:cs="仿宋_GB2312"/>
                <w:sz w:val="24"/>
                <w:szCs w:val="24"/>
              </w:rPr>
              <w:t>熟练运用对比分析方法，对不同内部控制框架进行全面、深入的比较，准确识别其差异与优劣，能够撰写详细的对比分析报告。</w:t>
            </w:r>
          </w:p>
          <w:bookmarkEnd w:id="42"/>
          <w:p w14:paraId="3144F56B">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rPr>
              <w:t>​</w:t>
            </w:r>
          </w:p>
          <w:p w14:paraId="36FA32FC">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842" w:type="dxa"/>
            <w:tcBorders>
              <w:tl2br w:val="nil"/>
              <w:tr2bl w:val="nil"/>
            </w:tcBorders>
            <w:vAlign w:val="center"/>
          </w:tcPr>
          <w:p w14:paraId="56FE7EC9">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lang w:val="en-US" w:eastAsia="zh-CN"/>
              </w:rPr>
            </w:pPr>
            <w:r>
              <w:rPr>
                <w:rFonts w:hint="default" w:ascii="仿宋_GB2312" w:hAnsi="Times New Roman" w:cs="Times New Roman"/>
                <w:sz w:val="24"/>
                <w:szCs w:val="24"/>
                <w:lang w:val="en-US" w:eastAsia="zh-CN"/>
              </w:rPr>
              <w:t>（一）教学目标</w:t>
            </w:r>
            <w:r>
              <w:rPr>
                <w:rFonts w:hint="eastAsia" w:ascii="仿宋_GB2312" w:hAnsi="Times New Roman" w:cs="Times New Roman"/>
                <w:sz w:val="24"/>
                <w:szCs w:val="24"/>
                <w:lang w:val="en-US" w:eastAsia="zh-CN"/>
              </w:rPr>
              <w:t>1.</w:t>
            </w:r>
            <w:r>
              <w:rPr>
                <w:rFonts w:hint="default" w:ascii="仿宋_GB2312" w:hAnsi="Times New Roman" w:cs="Times New Roman"/>
                <w:sz w:val="24"/>
                <w:szCs w:val="24"/>
                <w:lang w:val="en-US" w:eastAsia="zh-CN"/>
              </w:rPr>
              <w:t>知识目标​</w:t>
            </w:r>
          </w:p>
          <w:p w14:paraId="7001F853">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lang w:val="en-US" w:eastAsia="zh-CN"/>
              </w:rPr>
            </w:pPr>
            <w:r>
              <w:rPr>
                <w:rFonts w:hint="default" w:ascii="仿宋_GB2312" w:hAnsi="Times New Roman" w:cs="Times New Roman"/>
                <w:sz w:val="24"/>
                <w:szCs w:val="24"/>
                <w:lang w:val="en-US" w:eastAsia="zh-CN"/>
              </w:rPr>
              <w:t>学生能够清晰阐述 COSO 内部控制框架、ERM 框架等国际主流框架以及我国企业内部控制规范体系的核心内容、特点和适用范围。​深入理解不同内部控制框架的发展演变历程，以及各框架内部要素之间的逻辑关系。​</w:t>
            </w:r>
          </w:p>
          <w:p w14:paraId="3C9BCE71">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lang w:val="en-US" w:eastAsia="zh-CN"/>
              </w:rPr>
            </w:pPr>
            <w:r>
              <w:rPr>
                <w:rFonts w:hint="eastAsia" w:ascii="仿宋_GB2312" w:hAnsi="Times New Roman" w:cs="Times New Roman"/>
                <w:sz w:val="24"/>
                <w:szCs w:val="24"/>
                <w:lang w:val="en-US" w:eastAsia="zh-CN"/>
              </w:rPr>
              <w:t>2.</w:t>
            </w:r>
            <w:r>
              <w:rPr>
                <w:rFonts w:hint="default" w:ascii="仿宋_GB2312" w:hAnsi="Times New Roman" w:cs="Times New Roman"/>
                <w:sz w:val="24"/>
                <w:szCs w:val="24"/>
                <w:lang w:val="en-US" w:eastAsia="zh-CN"/>
              </w:rPr>
              <w:t>能力目标​</w:t>
            </w:r>
          </w:p>
          <w:p w14:paraId="0C7ED9E6">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lang w:val="en-US" w:eastAsia="zh-CN"/>
              </w:rPr>
            </w:pPr>
            <w:r>
              <w:rPr>
                <w:rFonts w:hint="default" w:ascii="仿宋_GB2312" w:hAnsi="Times New Roman" w:cs="Times New Roman"/>
                <w:sz w:val="24"/>
                <w:szCs w:val="24"/>
                <w:lang w:val="en-US" w:eastAsia="zh-CN"/>
              </w:rPr>
              <w:t>培养学生对比分析不同内部控制框架的差异与优劣的能力，能够根据企业的实际情况，合理选择适用的内部控制框架。锻炼学生运用特定内部控制框架，对企业现有内部控制体系进行评估、诊断，并提出针对性优化建议的实践能力。​</w:t>
            </w:r>
          </w:p>
          <w:p w14:paraId="63EE9C07">
            <w:pPr>
              <w:keepNext w:val="0"/>
              <w:keepLines w:val="0"/>
              <w:suppressLineNumbers w:val="0"/>
              <w:spacing w:before="0" w:beforeAutospacing="0" w:after="0" w:afterAutospacing="0" w:line="240" w:lineRule="auto"/>
              <w:ind w:left="0" w:right="0" w:firstLine="0" w:firstLineChars="0"/>
              <w:rPr>
                <w:rFonts w:hint="eastAsia" w:ascii="仿宋_GB2312" w:hAnsi="Times New Roman" w:cs="Times New Roman"/>
                <w:sz w:val="24"/>
                <w:szCs w:val="24"/>
                <w:lang w:val="en-US" w:eastAsia="zh-CN"/>
              </w:rPr>
            </w:pPr>
            <w:r>
              <w:rPr>
                <w:rFonts w:hint="eastAsia" w:ascii="仿宋_GB2312" w:hAnsi="Times New Roman" w:cs="Times New Roman"/>
                <w:sz w:val="24"/>
                <w:szCs w:val="24"/>
                <w:lang w:val="en-US" w:eastAsia="zh-CN"/>
              </w:rPr>
              <w:t>3.</w:t>
            </w:r>
            <w:r>
              <w:rPr>
                <w:rFonts w:hint="default" w:ascii="仿宋_GB2312" w:hAnsi="Times New Roman" w:cs="Times New Roman"/>
                <w:sz w:val="24"/>
                <w:szCs w:val="24"/>
                <w:lang w:val="en-US" w:eastAsia="zh-CN"/>
              </w:rPr>
              <w:t>素质目标​</w:t>
            </w:r>
          </w:p>
          <w:p w14:paraId="39239058">
            <w:pPr>
              <w:keepNext w:val="0"/>
              <w:keepLines w:val="0"/>
              <w:suppressLineNumbers w:val="0"/>
              <w:spacing w:before="0" w:beforeAutospacing="0" w:after="0" w:afterAutospacing="0" w:line="240" w:lineRule="auto"/>
              <w:ind w:left="0" w:right="0" w:firstLine="0" w:firstLineChars="0"/>
              <w:rPr>
                <w:rFonts w:hint="eastAsia" w:ascii="仿宋_GB2312" w:cs="Times New Roman"/>
                <w:sz w:val="24"/>
                <w:szCs w:val="24"/>
                <w:lang w:val="en-US" w:eastAsia="zh-CN"/>
              </w:rPr>
            </w:pPr>
            <w:r>
              <w:rPr>
                <w:rFonts w:hint="default" w:ascii="仿宋_GB2312" w:hAnsi="Times New Roman" w:cs="Times New Roman"/>
                <w:sz w:val="24"/>
                <w:szCs w:val="24"/>
                <w:lang w:val="en-US" w:eastAsia="zh-CN"/>
              </w:rPr>
              <w:t>塑造学生的批判性思维和创新意识，使其在面对多样化的内部控制框架时，能够理性思考、独立判断。提升学生的系统思维能力，让学生学会从整体架构和协同运作的角度看待企业内部控制体系的构建与完善</w:t>
            </w:r>
            <w:r>
              <w:rPr>
                <w:rFonts w:hint="eastAsia" w:ascii="仿宋_GB2312" w:cs="Times New Roman"/>
                <w:sz w:val="24"/>
                <w:szCs w:val="24"/>
                <w:lang w:val="en-US" w:eastAsia="zh-CN"/>
              </w:rPr>
              <w:t>。</w:t>
            </w:r>
          </w:p>
          <w:p w14:paraId="23ACD247">
            <w:pPr>
              <w:keepNext w:val="0"/>
              <w:keepLines w:val="0"/>
              <w:numPr>
                <w:ilvl w:val="0"/>
                <w:numId w:val="0"/>
              </w:numPr>
              <w:suppressLineNumbers w:val="0"/>
              <w:spacing w:before="0" w:beforeAutospacing="0" w:after="0" w:afterAutospacing="0" w:line="240" w:lineRule="auto"/>
              <w:ind w:left="0" w:leftChars="0" w:right="0"/>
              <w:rPr>
                <w:rFonts w:hint="eastAsia" w:ascii="仿宋_GB2312" w:cs="Times New Roman"/>
                <w:sz w:val="24"/>
                <w:szCs w:val="24"/>
                <w:lang w:val="en-US" w:eastAsia="zh-CN"/>
              </w:rPr>
            </w:pPr>
            <w:r>
              <w:rPr>
                <w:rFonts w:hint="eastAsia" w:ascii="仿宋_GB2312" w:cs="Times New Roman"/>
                <w:sz w:val="24"/>
                <w:szCs w:val="24"/>
                <w:lang w:val="en-US" w:eastAsia="zh-CN"/>
              </w:rPr>
              <w:t>（二）教学方法</w:t>
            </w:r>
          </w:p>
          <w:p w14:paraId="1355ECB1">
            <w:pPr>
              <w:keepNext w:val="0"/>
              <w:keepLines w:val="0"/>
              <w:numPr>
                <w:ilvl w:val="0"/>
                <w:numId w:val="0"/>
              </w:numPr>
              <w:suppressLineNumbers w:val="0"/>
              <w:spacing w:before="0" w:beforeAutospacing="0" w:after="0" w:afterAutospacing="0" w:line="240" w:lineRule="auto"/>
              <w:ind w:left="0" w:leftChars="0" w:right="0"/>
              <w:rPr>
                <w:rFonts w:hint="default" w:ascii="仿宋_GB2312" w:cs="Times New Roman"/>
                <w:sz w:val="24"/>
                <w:szCs w:val="24"/>
                <w:lang w:val="en-US" w:eastAsia="zh-CN"/>
              </w:rPr>
            </w:pPr>
            <w:r>
              <w:rPr>
                <w:rFonts w:hint="default" w:ascii="仿宋_GB2312" w:cs="Times New Roman"/>
                <w:sz w:val="24"/>
                <w:szCs w:val="24"/>
                <w:lang w:val="en-US" w:eastAsia="zh-CN"/>
              </w:rPr>
              <w:t>讲授法：系统讲解内部控制框架的基础理论知识，包括定义、发展历程、主流框架体系等，为学生搭建扎实的知识框架。详细阐释各构成要素的概念、功能及在整体框架中的位置，确保学生掌握核心要点。​</w:t>
            </w:r>
          </w:p>
          <w:p w14:paraId="14AAFF48">
            <w:pPr>
              <w:keepNext w:val="0"/>
              <w:keepLines w:val="0"/>
              <w:numPr>
                <w:ilvl w:val="0"/>
                <w:numId w:val="0"/>
              </w:numPr>
              <w:suppressLineNumbers w:val="0"/>
              <w:spacing w:before="0" w:beforeAutospacing="0" w:after="0" w:afterAutospacing="0" w:line="240" w:lineRule="auto"/>
              <w:ind w:left="0" w:leftChars="0" w:right="0"/>
              <w:rPr>
                <w:rFonts w:hint="default" w:ascii="仿宋_GB2312" w:cs="Times New Roman"/>
                <w:sz w:val="24"/>
                <w:szCs w:val="24"/>
                <w:lang w:val="en-US" w:eastAsia="zh-CN"/>
              </w:rPr>
            </w:pPr>
            <w:r>
              <w:rPr>
                <w:rFonts w:hint="default" w:ascii="仿宋_GB2312" w:cs="Times New Roman"/>
                <w:sz w:val="24"/>
                <w:szCs w:val="24"/>
                <w:lang w:val="en-US" w:eastAsia="zh-CN"/>
              </w:rPr>
              <w:t>案例教学法：引入丰富多元的企业案例，如阿里巴巴在电商业务中运用内部控制框架防范风险的实践、某传统制造企业因内部控制框架不完善导致的经营困境等。引导学生运用所学知识，深入剖析案例中内部控制框架的应用情况、存在问题及改进方向，增强知识的应用能力与理解深度。​</w:t>
            </w:r>
          </w:p>
          <w:p w14:paraId="7672139C">
            <w:pPr>
              <w:keepNext w:val="0"/>
              <w:keepLines w:val="0"/>
              <w:numPr>
                <w:ilvl w:val="0"/>
                <w:numId w:val="0"/>
              </w:numPr>
              <w:suppressLineNumbers w:val="0"/>
              <w:spacing w:before="0" w:beforeAutospacing="0" w:after="0" w:afterAutospacing="0" w:line="240" w:lineRule="auto"/>
              <w:ind w:left="0" w:leftChars="0" w:right="0"/>
              <w:rPr>
                <w:rFonts w:hint="default" w:ascii="仿宋_GB2312" w:cs="Times New Roman"/>
                <w:sz w:val="24"/>
                <w:szCs w:val="24"/>
                <w:lang w:val="en-US" w:eastAsia="zh-CN"/>
              </w:rPr>
            </w:pPr>
            <w:r>
              <w:rPr>
                <w:rFonts w:hint="default" w:ascii="仿宋_GB2312" w:cs="Times New Roman"/>
                <w:sz w:val="24"/>
                <w:szCs w:val="24"/>
                <w:lang w:val="en-US" w:eastAsia="zh-CN"/>
              </w:rPr>
              <w:t>小组讨论法：组织学生分组探讨特定案例或议题，如不同行业企业适用内部控制框架的差异、如何在数字化时代优化内部控制框架等。促进学生间的思想交流与观点碰撞，培养团队协作与批判性思维能力。</w:t>
            </w:r>
          </w:p>
          <w:p w14:paraId="5A7BCF13">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843" w:type="dxa"/>
            <w:tcBorders>
              <w:tl2br w:val="nil"/>
              <w:tr2bl w:val="nil"/>
            </w:tcBorders>
            <w:vAlign w:val="center"/>
          </w:tcPr>
          <w:p w14:paraId="590DF0EC">
            <w:pPr>
              <w:keepNext w:val="0"/>
              <w:keepLines w:val="0"/>
              <w:suppressLineNumbers w:val="0"/>
              <w:spacing w:before="0" w:beforeAutospacing="0" w:after="0" w:afterAutospacing="0" w:line="240" w:lineRule="auto"/>
              <w:ind w:left="0" w:right="0" w:firstLine="0" w:firstLineChars="0"/>
              <w:jc w:val="both"/>
              <w:rPr>
                <w:rFonts w:hint="default" w:ascii="仿宋_GB2312" w:hAnsi="仿宋_GB2312" w:cs="仿宋_GB2312"/>
                <w:sz w:val="24"/>
                <w:szCs w:val="24"/>
              </w:rPr>
            </w:pPr>
            <w:r>
              <w:rPr>
                <w:rFonts w:hint="default" w:ascii="仿宋_GB2312" w:hAnsi="Times New Roman" w:cs="Times New Roman"/>
                <w:sz w:val="24"/>
                <w:szCs w:val="24"/>
                <w:lang w:val="en-US" w:eastAsia="zh-CN"/>
              </w:rPr>
              <w:t>在讲解内部控制的起源与发展时，引入国内外因内部控制缺失导致企业倒闭或重大经济犯罪案例，如安然公司财务造假事件、中航油新加坡公司巨额亏损事件等，引导学生分析这些案例背后的道德风险和诚信问题，强调诚信在企业经营和个人职业发展中的基石作用。</w:t>
            </w:r>
          </w:p>
        </w:tc>
        <w:tc>
          <w:tcPr>
            <w:tcW w:w="567" w:type="dxa"/>
            <w:tcBorders>
              <w:tl2br w:val="nil"/>
              <w:tr2bl w:val="nil"/>
            </w:tcBorders>
            <w:vAlign w:val="center"/>
          </w:tcPr>
          <w:p w14:paraId="77DACF74">
            <w:pPr>
              <w:keepNext w:val="0"/>
              <w:keepLines w:val="0"/>
              <w:suppressLineNumbers w:val="0"/>
              <w:spacing w:before="0" w:beforeAutospacing="0" w:after="0" w:afterAutospacing="0"/>
              <w:ind w:left="0" w:right="0"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6</w:t>
            </w:r>
          </w:p>
        </w:tc>
      </w:tr>
      <w:tr w14:paraId="3C7466D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75" w:type="dxa"/>
            <w:tcBorders>
              <w:tl2br w:val="nil"/>
              <w:tr2bl w:val="nil"/>
            </w:tcBorders>
            <w:vAlign w:val="center"/>
          </w:tcPr>
          <w:p w14:paraId="2BEECAFC">
            <w:pPr>
              <w:keepNext w:val="0"/>
              <w:keepLines w:val="0"/>
              <w:suppressLineNumbers w:val="0"/>
              <w:spacing w:before="0" w:beforeAutospacing="0" w:after="0" w:afterAutospacing="0" w:line="240" w:lineRule="auto"/>
              <w:ind w:left="0" w:right="0" w:firstLine="0" w:firstLineChars="0"/>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3</w:t>
            </w:r>
          </w:p>
        </w:tc>
        <w:tc>
          <w:tcPr>
            <w:tcW w:w="1202" w:type="dxa"/>
            <w:tcBorders>
              <w:tl2br w:val="nil"/>
              <w:tr2bl w:val="nil"/>
            </w:tcBorders>
            <w:vAlign w:val="center"/>
          </w:tcPr>
          <w:p w14:paraId="05CDD7DD">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3. 内部控制环境</w:t>
            </w:r>
          </w:p>
          <w:p w14:paraId="2F59AC45">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83" w:type="dxa"/>
            <w:tcBorders>
              <w:tl2br w:val="nil"/>
              <w:tr2bl w:val="nil"/>
            </w:tcBorders>
            <w:vAlign w:val="center"/>
          </w:tcPr>
          <w:p w14:paraId="4EF1E1CF">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bookmarkStart w:id="43" w:name="OLE_LINK19"/>
            <w:r>
              <w:rPr>
                <w:rFonts w:hint="default" w:ascii="仿宋_GB2312" w:hAnsi="仿宋_GB2312" w:cs="仿宋_GB2312"/>
                <w:sz w:val="24"/>
                <w:szCs w:val="24"/>
              </w:rPr>
              <w:t>深入理解内部控制环境的定义、内涵及在整个内部控制体系中的核心地位，明确其构成要素的相互关系。</w:t>
            </w:r>
            <w:bookmarkEnd w:id="43"/>
          </w:p>
        </w:tc>
        <w:tc>
          <w:tcPr>
            <w:tcW w:w="1936" w:type="dxa"/>
            <w:tcBorders>
              <w:tl2br w:val="nil"/>
              <w:tr2bl w:val="nil"/>
            </w:tcBorders>
            <w:vAlign w:val="center"/>
          </w:tcPr>
          <w:p w14:paraId="491D59E9">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学习内容：</w:t>
            </w:r>
          </w:p>
          <w:p w14:paraId="3F4F09BE">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r>
              <w:rPr>
                <w:rFonts w:hint="default" w:ascii="仿宋_GB2312"/>
                <w:sz w:val="24"/>
                <w:szCs w:val="24"/>
              </w:rPr>
              <w:t>内部控制环境的定义与范围，明确其作为内部控制其他要素基础的重要性。​</w:t>
            </w:r>
          </w:p>
          <w:p w14:paraId="583AA11B">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r>
              <w:rPr>
                <w:rFonts w:hint="default" w:ascii="仿宋_GB2312"/>
                <w:sz w:val="24"/>
                <w:szCs w:val="24"/>
              </w:rPr>
              <w:t>了解内部控制环境在 COSO 框架等权威理论体系中的阐述，把握其理论发展脉络。</w:t>
            </w:r>
          </w:p>
          <w:p w14:paraId="6E743943">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要求：</w:t>
            </w:r>
          </w:p>
          <w:p w14:paraId="532C6B52">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bookmarkStart w:id="44" w:name="OLE_LINK27"/>
            <w:r>
              <w:rPr>
                <w:rFonts w:hint="eastAsia" w:ascii="仿宋_GB2312"/>
                <w:sz w:val="24"/>
                <w:szCs w:val="24"/>
                <w:lang w:val="en-US" w:eastAsia="zh-CN"/>
              </w:rPr>
              <w:t>准确理解内部控制环境的概念、要素及相互关系，能够熟练阐述每个要素的核心内容和重要性，对 COSO 框架等相关理论有清晰的认识。​</w:t>
            </w:r>
          </w:p>
          <w:bookmarkEnd w:id="44"/>
          <w:p w14:paraId="52644F80">
            <w:pPr>
              <w:keepNext w:val="0"/>
              <w:keepLines w:val="0"/>
              <w:suppressLineNumbers w:val="0"/>
              <w:spacing w:before="0" w:beforeAutospacing="0" w:after="0" w:afterAutospacing="0" w:line="240" w:lineRule="auto"/>
              <w:ind w:left="0" w:right="0" w:firstLine="0" w:firstLineChars="0"/>
              <w:rPr>
                <w:rFonts w:hint="eastAsia" w:ascii="仿宋_GB2312" w:eastAsia="仿宋_GB2312"/>
                <w:sz w:val="24"/>
                <w:szCs w:val="24"/>
                <w:lang w:val="en-US" w:eastAsia="zh-CN"/>
              </w:rPr>
            </w:pPr>
          </w:p>
          <w:p w14:paraId="2CC04721">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p>
        </w:tc>
        <w:tc>
          <w:tcPr>
            <w:tcW w:w="1842" w:type="dxa"/>
            <w:tcBorders>
              <w:tl2br w:val="nil"/>
              <w:tr2bl w:val="nil"/>
            </w:tcBorders>
            <w:vAlign w:val="center"/>
          </w:tcPr>
          <w:p w14:paraId="58766BF7">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（一）</w:t>
            </w:r>
            <w:r>
              <w:rPr>
                <w:rFonts w:hint="default" w:ascii="仿宋_GB2312" w:hAnsi="仿宋_GB2312" w:cs="仿宋_GB2312"/>
                <w:sz w:val="24"/>
                <w:szCs w:val="24"/>
                <w:lang w:val="en-US" w:eastAsia="zh-CN"/>
              </w:rPr>
              <w:t>教学目标​</w:t>
            </w:r>
          </w:p>
          <w:p w14:paraId="1CCDB1C6">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1.</w:t>
            </w:r>
            <w:r>
              <w:rPr>
                <w:rFonts w:hint="default" w:ascii="仿宋_GB2312" w:hAnsi="仿宋_GB2312" w:cs="仿宋_GB2312"/>
                <w:sz w:val="24"/>
                <w:szCs w:val="24"/>
              </w:rPr>
              <w:t>知识目标​</w:t>
            </w:r>
          </w:p>
          <w:p w14:paraId="29F59B4E">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学生能够准确阐述内部控制环境的定义、范围及构成要素。​深入理解各构成要素对内部控制有效性的影响机制，熟练分析不同企业内部控制环境的特点。​</w:t>
            </w:r>
          </w:p>
          <w:p w14:paraId="022831BD">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学会运用所学知识分析实际案例，识别内部控制环境存在的问题并提出改进措施。​</w:t>
            </w:r>
          </w:p>
          <w:p w14:paraId="048A479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2.</w:t>
            </w:r>
            <w:r>
              <w:rPr>
                <w:rFonts w:hint="default" w:ascii="仿宋_GB2312" w:hAnsi="仿宋_GB2312" w:cs="仿宋_GB2312"/>
                <w:sz w:val="24"/>
                <w:szCs w:val="24"/>
              </w:rPr>
              <w:t>过程与方法目标​</w:t>
            </w:r>
          </w:p>
          <w:p w14:paraId="03503B4B">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通过案例分析、小组讨论等活动，培养学生的批判性思维和解决实际问题的能力。​</w:t>
            </w:r>
          </w:p>
          <w:p w14:paraId="63AB9F50">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借助对比分析不同行业企业内部控制环境，提升学生归纳总结和逻辑思维能力。​</w:t>
            </w:r>
          </w:p>
          <w:p w14:paraId="79B4B3B0">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3.</w:t>
            </w:r>
            <w:r>
              <w:rPr>
                <w:rFonts w:hint="default" w:ascii="仿宋_GB2312" w:hAnsi="仿宋_GB2312" w:cs="仿宋_GB2312"/>
                <w:sz w:val="24"/>
                <w:szCs w:val="24"/>
              </w:rPr>
              <w:t>情感态度与价值观目标​</w:t>
            </w:r>
          </w:p>
          <w:p w14:paraId="6ABEA0F4">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激发学生对内部控制领域的学习兴趣，培养其严谨务实的专业态度。​</w:t>
            </w:r>
          </w:p>
          <w:p w14:paraId="704D65A6">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增强学生的职业道德意识，树立正确的职业价值观。</w:t>
            </w:r>
          </w:p>
          <w:p w14:paraId="0AB37ED7">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lang w:val="en-US" w:eastAsia="zh-CN"/>
              </w:rPr>
              <w:t>（</w:t>
            </w:r>
            <w:r>
              <w:rPr>
                <w:rFonts w:hint="eastAsia" w:ascii="仿宋_GB2312" w:hAnsi="仿宋_GB2312" w:cs="仿宋_GB2312"/>
                <w:sz w:val="24"/>
                <w:szCs w:val="24"/>
                <w:lang w:val="en-US" w:eastAsia="zh-CN"/>
              </w:rPr>
              <w:t>二</w:t>
            </w:r>
            <w:r>
              <w:rPr>
                <w:rFonts w:hint="default" w:ascii="仿宋_GB2312" w:hAnsi="仿宋_GB2312" w:cs="仿宋_GB2312"/>
                <w:sz w:val="24"/>
                <w:szCs w:val="24"/>
                <w:lang w:val="en-US" w:eastAsia="zh-CN"/>
              </w:rPr>
              <w:t>）教学方</w:t>
            </w:r>
            <w:r>
              <w:rPr>
                <w:rFonts w:hint="eastAsia" w:ascii="仿宋_GB2312" w:hAnsi="仿宋_GB2312" w:cs="仿宋_GB2312"/>
                <w:sz w:val="24"/>
                <w:szCs w:val="24"/>
                <w:lang w:val="en-US" w:eastAsia="zh-CN"/>
              </w:rPr>
              <w:t>法</w:t>
            </w:r>
            <w:r>
              <w:rPr>
                <w:rFonts w:hint="default" w:ascii="仿宋_GB2312" w:hAnsi="仿宋_GB2312" w:cs="仿宋_GB2312"/>
                <w:sz w:val="24"/>
                <w:szCs w:val="24"/>
                <w:lang w:val="en-US" w:eastAsia="zh-CN"/>
              </w:rPr>
              <w:t>​</w:t>
            </w:r>
            <w:r>
              <w:rPr>
                <w:rFonts w:hint="default" w:ascii="仿宋_GB2312" w:hAnsi="仿宋_GB2312" w:cs="仿宋_GB2312"/>
                <w:sz w:val="24"/>
                <w:szCs w:val="24"/>
              </w:rPr>
              <w:t>讲授法：系统讲解内部控制环境的基础理论知识，包括定义、范围、COSO 框架中的阐述等，确保学生掌握基本概念和理论体系。​</w:t>
            </w:r>
          </w:p>
          <w:p w14:paraId="008B1BC2">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案例教学法：引入大量实际企业案例，如万科集团的治理结构、华为的矩阵式组织权责分配、阿里巴巴的内部审计等，引导学生分析案例中内部控制环境的特点、问题及解决措施，加深对知识的理解和应用能力。​</w:t>
            </w:r>
          </w:p>
          <w:p w14:paraId="67531C87">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小组讨论法：组织学生分组讨论特定案例或行业对比分析主题，促进学生之间的思想交流和碰撞，培养团队协作能力和批判性思维。​</w:t>
            </w:r>
          </w:p>
          <w:p w14:paraId="21C54E3E">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角色扮演法：设置模拟企业场景，让学生分别扮演企业治理结构中的不同角色（如股东会、董事会、监事会成员等），通过模拟决策过程，亲身体验治理结构对内部控制的影响。</w:t>
            </w:r>
          </w:p>
          <w:p w14:paraId="341C8371">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p w14:paraId="7FB33C0D">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843" w:type="dxa"/>
            <w:tcBorders>
              <w:tl2br w:val="nil"/>
              <w:tr2bl w:val="nil"/>
            </w:tcBorders>
            <w:vAlign w:val="center"/>
          </w:tcPr>
          <w:p w14:paraId="692F926F">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在分析安然公司财务造假导致内部控制环境崩溃的案例时，引导学生讨论诚信缺失对企业和社会的严重危害，培养学生的诚信意识和职业道德。强调在未来的工作中，无论面对何种利益诱惑，都应坚守职业操守，杜绝欺诈行为。​</w:t>
            </w:r>
          </w:p>
          <w:p w14:paraId="0B7FB62B">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以海尔集团通过优化内部控制环境实现企业可持续发展并积极履行社会责任的案例为切入点，讲解企业良好的内部控制不仅关乎自身发展，还对社会经济、就业等方面产生积极影响，从而增强学生的社会责任感。</w:t>
            </w:r>
          </w:p>
          <w:p w14:paraId="38668F70">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567" w:type="dxa"/>
            <w:tcBorders>
              <w:tl2br w:val="nil"/>
              <w:tr2bl w:val="nil"/>
            </w:tcBorders>
            <w:vAlign w:val="center"/>
          </w:tcPr>
          <w:p w14:paraId="7F29DE22">
            <w:pPr>
              <w:keepNext w:val="0"/>
              <w:keepLines w:val="0"/>
              <w:suppressLineNumbers w:val="0"/>
              <w:spacing w:before="0" w:beforeAutospacing="0" w:after="0" w:afterAutospacing="0"/>
              <w:ind w:left="0" w:right="0"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6</w:t>
            </w:r>
          </w:p>
        </w:tc>
      </w:tr>
      <w:tr w14:paraId="5DB0715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75" w:type="dxa"/>
            <w:tcBorders>
              <w:tl2br w:val="nil"/>
              <w:tr2bl w:val="nil"/>
            </w:tcBorders>
            <w:vAlign w:val="center"/>
          </w:tcPr>
          <w:p w14:paraId="5E35CF85">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4</w:t>
            </w:r>
          </w:p>
        </w:tc>
        <w:tc>
          <w:tcPr>
            <w:tcW w:w="1202" w:type="dxa"/>
            <w:tcBorders>
              <w:tl2br w:val="nil"/>
              <w:tr2bl w:val="nil"/>
            </w:tcBorders>
            <w:vAlign w:val="center"/>
          </w:tcPr>
          <w:p w14:paraId="3E6CAA86">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方正仿宋_GB2312" w:hAnsi="方正仿宋_GB2312" w:eastAsia="方正仿宋_GB2312" w:cs="方正仿宋_GB2312"/>
                <w:b w:val="0"/>
                <w:bCs w:val="0"/>
                <w:color w:val="auto"/>
                <w:sz w:val="21"/>
                <w:szCs w:val="21"/>
                <w:lang w:val="en-US" w:eastAsia="zh-CN"/>
              </w:rPr>
              <w:t>4. 风险评估</w:t>
            </w:r>
          </w:p>
        </w:tc>
        <w:tc>
          <w:tcPr>
            <w:tcW w:w="1183" w:type="dxa"/>
            <w:tcBorders>
              <w:tl2br w:val="nil"/>
              <w:tr2bl w:val="nil"/>
            </w:tcBorders>
            <w:vAlign w:val="center"/>
          </w:tcPr>
          <w:p w14:paraId="71C8EBD4">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bookmarkStart w:id="45" w:name="OLE_LINK18"/>
            <w:r>
              <w:rPr>
                <w:rFonts w:hint="eastAsia" w:ascii="仿宋_GB2312" w:hAnsi="仿宋_GB2312" w:cs="仿宋_GB2312"/>
                <w:sz w:val="24"/>
                <w:szCs w:val="24"/>
                <w:lang w:val="en-US" w:eastAsia="zh-CN"/>
              </w:rPr>
              <w:t>1.</w:t>
            </w:r>
            <w:r>
              <w:rPr>
                <w:rFonts w:hint="default" w:ascii="仿宋_GB2312" w:hAnsi="仿宋_GB2312" w:cs="仿宋_GB2312"/>
                <w:sz w:val="24"/>
                <w:szCs w:val="24"/>
              </w:rPr>
              <w:t>深入研读风险评估的概念、风险的定义与特征，梳理风险评估在企业管理、项目管理、金融投资等不同领域的重要性，形成详细的读书笔记，记录关键要点及自己的理解感悟。​</w:t>
            </w:r>
          </w:p>
          <w:p w14:paraId="3955F99C">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2.</w:t>
            </w:r>
            <w:r>
              <w:rPr>
                <w:rFonts w:hint="default" w:ascii="仿宋_GB2312" w:hAnsi="仿宋_GB2312" w:cs="仿宋_GB2312"/>
                <w:sz w:val="24"/>
                <w:szCs w:val="24"/>
              </w:rPr>
              <w:t>全面学习风险评估流程，包括风险识别、风险分析和风险评价三个阶段。绘制风险评估流程思维导图，清晰呈现各阶段的操作步骤、关键方法以及它们之间的逻辑关系。</w:t>
            </w:r>
          </w:p>
          <w:bookmarkEnd w:id="45"/>
          <w:p w14:paraId="0D13FF56">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936" w:type="dxa"/>
            <w:tcBorders>
              <w:tl2br w:val="nil"/>
              <w:tr2bl w:val="nil"/>
            </w:tcBorders>
            <w:vAlign w:val="center"/>
          </w:tcPr>
          <w:p w14:paraId="68491253">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学习内容：</w:t>
            </w:r>
          </w:p>
          <w:p w14:paraId="26E247E1">
            <w:pPr>
              <w:keepNext w:val="0"/>
              <w:keepLines w:val="0"/>
              <w:suppressLineNumbers w:val="0"/>
              <w:spacing w:before="0" w:beforeAutospacing="0" w:after="0" w:afterAutospacing="0" w:line="240" w:lineRule="auto"/>
              <w:ind w:left="0" w:right="0" w:firstLine="0" w:firstLineChars="0"/>
              <w:rPr>
                <w:rFonts w:hint="default" w:ascii="仿宋_GB2312"/>
                <w:sz w:val="24"/>
                <w:szCs w:val="24"/>
                <w:lang w:val="en-US" w:eastAsia="zh-CN"/>
              </w:rPr>
            </w:pPr>
            <w:r>
              <w:rPr>
                <w:rFonts w:hint="default" w:ascii="仿宋_GB2312"/>
                <w:sz w:val="24"/>
                <w:szCs w:val="24"/>
                <w:lang w:val="en-US" w:eastAsia="zh-CN"/>
              </w:rPr>
              <w:t>风险识别与分析、风险评估方法、风险应对策略。</w:t>
            </w:r>
          </w:p>
          <w:p w14:paraId="25DEECE7">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要求：</w:t>
            </w:r>
          </w:p>
          <w:p w14:paraId="794F720E">
            <w:pPr>
              <w:keepNext w:val="0"/>
              <w:keepLines w:val="0"/>
              <w:suppressLineNumbers w:val="0"/>
              <w:spacing w:before="0" w:beforeAutospacing="0" w:after="0" w:afterAutospacing="0" w:line="240" w:lineRule="auto"/>
              <w:ind w:left="0" w:right="0" w:firstLine="0" w:firstLineChars="0"/>
              <w:rPr>
                <w:rFonts w:hint="default" w:ascii="仿宋_GB2312"/>
                <w:sz w:val="24"/>
                <w:szCs w:val="24"/>
                <w:lang w:val="en-US" w:eastAsia="zh-CN"/>
              </w:rPr>
            </w:pPr>
            <w:bookmarkStart w:id="46" w:name="OLE_LINK26"/>
            <w:r>
              <w:rPr>
                <w:rFonts w:hint="eastAsia" w:ascii="仿宋_GB2312"/>
                <w:sz w:val="24"/>
                <w:szCs w:val="24"/>
                <w:lang w:val="en-US" w:eastAsia="zh-CN"/>
              </w:rPr>
              <w:t>1.</w:t>
            </w:r>
            <w:r>
              <w:rPr>
                <w:rFonts w:hint="default" w:ascii="仿宋_GB2312"/>
                <w:sz w:val="24"/>
                <w:szCs w:val="24"/>
                <w:lang w:val="en-US" w:eastAsia="zh-CN"/>
              </w:rPr>
              <w:t>知识掌握要求能够准确无误地阐述风险评估的概念、流程及各类风险评估方法的核心要点，对风险的特征、风险评估在不同领域的重要性有深刻理解，可随时进行清晰讲解。熟练掌握风险识别、分析、评价的具体操作步骤，能够独立运用多种风险评估方法对简单项目或业务进行风险评估，评估结果合理准确。​</w:t>
            </w:r>
          </w:p>
          <w:p w14:paraId="5743D567">
            <w:pPr>
              <w:keepNext w:val="0"/>
              <w:keepLines w:val="0"/>
              <w:suppressLineNumbers w:val="0"/>
              <w:spacing w:before="0" w:beforeAutospacing="0" w:after="0" w:afterAutospacing="0" w:line="240" w:lineRule="auto"/>
              <w:ind w:left="0" w:right="0" w:firstLine="0" w:firstLineChars="0"/>
              <w:rPr>
                <w:rFonts w:hint="default" w:ascii="仿宋_GB2312"/>
                <w:sz w:val="24"/>
                <w:szCs w:val="24"/>
                <w:lang w:val="en-US" w:eastAsia="zh-CN"/>
              </w:rPr>
            </w:pPr>
            <w:r>
              <w:rPr>
                <w:rFonts w:hint="eastAsia" w:ascii="仿宋_GB2312"/>
                <w:sz w:val="24"/>
                <w:szCs w:val="24"/>
                <w:lang w:val="en-US" w:eastAsia="zh-CN"/>
              </w:rPr>
              <w:t>2.</w:t>
            </w:r>
            <w:r>
              <w:rPr>
                <w:rFonts w:hint="default" w:ascii="仿宋_GB2312"/>
                <w:sz w:val="24"/>
                <w:szCs w:val="24"/>
                <w:lang w:val="en-US" w:eastAsia="zh-CN"/>
              </w:rPr>
              <w:t>案例分析要求在案例分析过程中，能够精准运用所学理论知识，深入挖掘案例中风险因素，合理选择评估方法进行分析评价，并制定切实可行的风险应对策略。案例分析报告逻辑严谨、条理清晰，对风险评估过程的阐述详细全面，对比分析结论具有一定的深度和参考价值。​</w:t>
            </w:r>
          </w:p>
          <w:p w14:paraId="66B9BD84">
            <w:pPr>
              <w:keepNext w:val="0"/>
              <w:keepLines w:val="0"/>
              <w:suppressLineNumbers w:val="0"/>
              <w:spacing w:before="0" w:beforeAutospacing="0" w:after="0" w:afterAutospacing="0" w:line="240" w:lineRule="auto"/>
              <w:ind w:left="0" w:right="0" w:firstLine="0" w:firstLineChars="0"/>
              <w:rPr>
                <w:rFonts w:hint="default" w:ascii="仿宋_GB2312"/>
                <w:sz w:val="24"/>
                <w:szCs w:val="24"/>
                <w:lang w:val="en-US" w:eastAsia="zh-CN"/>
              </w:rPr>
            </w:pPr>
            <w:r>
              <w:rPr>
                <w:rFonts w:hint="eastAsia" w:ascii="仿宋_GB2312"/>
                <w:sz w:val="24"/>
                <w:szCs w:val="24"/>
                <w:lang w:val="en-US" w:eastAsia="zh-CN"/>
              </w:rPr>
              <w:t>3.</w:t>
            </w:r>
            <w:r>
              <w:rPr>
                <w:rFonts w:hint="default" w:ascii="仿宋_GB2312"/>
                <w:sz w:val="24"/>
                <w:szCs w:val="24"/>
                <w:lang w:val="en-US" w:eastAsia="zh-CN"/>
              </w:rPr>
              <w:t>小组协作要求在小组讨论中，积极参与讨论，发言内容有针对性、有深度，能够有效贡献自己的观点和想法，同时尊重他人意见，善于倾听和吸收不同观点，促进小组讨论顺利进行。小组讨论记录完整、准确，能够反映讨论的全貌。​</w:t>
            </w:r>
          </w:p>
          <w:p w14:paraId="31F234E7">
            <w:pPr>
              <w:keepNext w:val="0"/>
              <w:keepLines w:val="0"/>
              <w:suppressLineNumbers w:val="0"/>
              <w:spacing w:before="0" w:beforeAutospacing="0" w:after="0" w:afterAutospacing="0" w:line="240" w:lineRule="auto"/>
              <w:ind w:left="0" w:right="0" w:firstLine="0" w:firstLineChars="0"/>
              <w:rPr>
                <w:rFonts w:hint="default" w:ascii="仿宋_GB2312"/>
                <w:sz w:val="24"/>
                <w:szCs w:val="24"/>
                <w:lang w:val="en-US" w:eastAsia="zh-CN"/>
              </w:rPr>
            </w:pPr>
            <w:r>
              <w:rPr>
                <w:rFonts w:hint="default" w:ascii="仿宋_GB2312"/>
                <w:sz w:val="24"/>
                <w:szCs w:val="24"/>
                <w:lang w:val="en-US" w:eastAsia="zh-CN"/>
              </w:rPr>
              <w:t>在模拟项目风险评估中，明确自身职责，与小组成员密切配合，高效完成团队分配的任务。模拟项目风险评估报告内容完整，风险评估流程规范，应对策略合理，充分体现团队协作成果，团队成员分工明确且协作顺畅。</w:t>
            </w:r>
          </w:p>
          <w:bookmarkEnd w:id="46"/>
          <w:p w14:paraId="683F10C3">
            <w:pPr>
              <w:keepNext w:val="0"/>
              <w:keepLines w:val="0"/>
              <w:suppressLineNumbers w:val="0"/>
              <w:spacing w:before="0" w:beforeAutospacing="0" w:after="0" w:afterAutospacing="0" w:line="240" w:lineRule="auto"/>
              <w:ind w:left="0" w:right="0" w:firstLine="0" w:firstLineChars="0"/>
              <w:rPr>
                <w:rFonts w:hint="default" w:ascii="仿宋_GB2312"/>
                <w:sz w:val="24"/>
                <w:szCs w:val="24"/>
                <w:lang w:val="en-US" w:eastAsia="zh-CN"/>
              </w:rPr>
            </w:pPr>
          </w:p>
        </w:tc>
        <w:tc>
          <w:tcPr>
            <w:tcW w:w="1842" w:type="dxa"/>
            <w:tcBorders>
              <w:tl2br w:val="nil"/>
              <w:tr2bl w:val="nil"/>
            </w:tcBorders>
            <w:vAlign w:val="center"/>
          </w:tcPr>
          <w:p w14:paraId="17268F7F">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p w14:paraId="619F1EB3">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lang w:val="en-US" w:eastAsia="zh-CN"/>
              </w:rPr>
              <w:t>（一）教学目标</w:t>
            </w:r>
            <w:r>
              <w:rPr>
                <w:rFonts w:hint="eastAsia" w:ascii="仿宋_GB2312" w:hAnsi="仿宋_GB2312" w:cs="仿宋_GB2312"/>
                <w:sz w:val="24"/>
                <w:szCs w:val="24"/>
                <w:lang w:val="en-US" w:eastAsia="zh-CN"/>
              </w:rPr>
              <w:t>1.</w:t>
            </w:r>
            <w:r>
              <w:rPr>
                <w:rFonts w:hint="default" w:ascii="仿宋_GB2312" w:hAnsi="仿宋_GB2312" w:cs="仿宋_GB2312"/>
                <w:sz w:val="24"/>
                <w:szCs w:val="24"/>
              </w:rPr>
              <w:t>知识目标​</w:t>
            </w:r>
          </w:p>
          <w:p w14:paraId="3926C881">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学生能够准确阐述风险评估的概念、流程及关键方法，清晰区分不同类型的风险。​</w:t>
            </w:r>
          </w:p>
          <w:p w14:paraId="51B2E129">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熟练掌握定性与定量风险评估技术的应用场景，能够运用诸如头脑风暴法、德尔菲法、敏感性分析、蒙特卡罗模拟等方法对给定项目或业务进行风险识别与评估。​</w:t>
            </w:r>
          </w:p>
          <w:p w14:paraId="0FD906C6">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学会根据风险评估结果制定相应的风险应对策略，具备撰写完整风险评估报告的能力。​</w:t>
            </w:r>
          </w:p>
          <w:p w14:paraId="246B057F">
            <w:pPr>
              <w:keepNext w:val="0"/>
              <w:keepLines w:val="0"/>
              <w:suppressLineNumbers w:val="0"/>
              <w:spacing w:before="0" w:beforeAutospacing="0" w:after="0" w:afterAutospacing="0" w:line="240" w:lineRule="auto"/>
              <w:ind w:left="0" w:right="0" w:firstLine="0" w:firstLineChars="0"/>
              <w:jc w:val="center"/>
              <w:rPr>
                <w:rFonts w:hint="eastAsia" w:ascii="仿宋_GB2312" w:hAnsi="仿宋_GB2312" w:eastAsia="仿宋_GB2312" w:cs="仿宋_GB2312"/>
                <w:sz w:val="24"/>
                <w:szCs w:val="24"/>
                <w:lang w:eastAsia="zh-CN"/>
              </w:rPr>
            </w:pPr>
            <w:r>
              <w:rPr>
                <w:rFonts w:hint="eastAsia" w:ascii="仿宋_GB2312" w:hAnsi="仿宋_GB2312" w:cs="仿宋_GB2312"/>
                <w:sz w:val="24"/>
                <w:szCs w:val="24"/>
                <w:lang w:val="en-US" w:eastAsia="zh-CN"/>
              </w:rPr>
              <w:t>2.能力目标</w:t>
            </w:r>
          </w:p>
          <w:p w14:paraId="1EE7FAB6">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通过案例分析、小组讨论与项目模拟，培养学生的批判性思维和解决实际问题的能力，使其能够从复杂的现实情境中识别风险因素，合理评估风险影响程度。​</w:t>
            </w:r>
          </w:p>
          <w:p w14:paraId="49C71857">
            <w:pPr>
              <w:keepNext w:val="0"/>
              <w:keepLines w:val="0"/>
              <w:suppressLineNumbers w:val="0"/>
              <w:spacing w:before="0" w:beforeAutospacing="0" w:after="0" w:afterAutospacing="0" w:line="240" w:lineRule="auto"/>
              <w:ind w:left="0" w:right="0" w:firstLine="0" w:firstLineChars="0"/>
              <w:jc w:val="center"/>
              <w:rPr>
                <w:rFonts w:hint="eastAsia" w:ascii="仿宋_GB2312" w:hAnsi="仿宋_GB2312" w:eastAsia="仿宋_GB2312" w:cs="仿宋_GB2312"/>
                <w:sz w:val="24"/>
                <w:szCs w:val="24"/>
                <w:lang w:eastAsia="zh-CN"/>
              </w:rPr>
            </w:pPr>
            <w:r>
              <w:rPr>
                <w:rFonts w:hint="default" w:ascii="仿宋_GB2312" w:hAnsi="仿宋_GB2312" w:cs="仿宋_GB2312"/>
                <w:sz w:val="24"/>
                <w:szCs w:val="24"/>
              </w:rPr>
              <w:t>借助团队协作完成风险评估任务，提升学生的沟通协调和团队合作能力，同时锻炼学生的数据收集、整理与分析能力。​</w:t>
            </w:r>
            <w:r>
              <w:rPr>
                <w:rFonts w:hint="eastAsia" w:ascii="仿宋_GB2312" w:hAnsi="仿宋_GB2312" w:cs="仿宋_GB2312"/>
                <w:sz w:val="24"/>
                <w:szCs w:val="24"/>
                <w:lang w:val="en-US" w:eastAsia="zh-CN"/>
              </w:rPr>
              <w:t>3.素质目标</w:t>
            </w:r>
          </w:p>
          <w:p w14:paraId="6461E1AB">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激发学生对风险评估领域的学习兴趣，培养其严谨细致、科学理性的工作态度。​</w:t>
            </w:r>
          </w:p>
          <w:p w14:paraId="72DDA1C6">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增强学生的风险防范意识和责任担当精神，使其在面对风险时能够保持冷静，积极应对。</w:t>
            </w:r>
          </w:p>
          <w:p w14:paraId="16618E0F">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p w14:paraId="47A92344">
            <w:pPr>
              <w:keepNext w:val="0"/>
              <w:keepLines w:val="0"/>
              <w:suppressLineNumbers w:val="0"/>
              <w:spacing w:before="0" w:beforeAutospacing="0" w:after="0" w:afterAutospacing="0" w:line="240" w:lineRule="auto"/>
              <w:ind w:left="0" w:right="0" w:firstLine="0" w:firstLineChars="0"/>
              <w:jc w:val="both"/>
              <w:rPr>
                <w:rFonts w:hint="default" w:ascii="仿宋_GB2312" w:hAnsi="仿宋_GB2312" w:cs="仿宋_GB2312"/>
                <w:sz w:val="24"/>
                <w:szCs w:val="24"/>
              </w:rPr>
            </w:pPr>
            <w:r>
              <w:rPr>
                <w:rFonts w:hint="default" w:ascii="仿宋_GB2312" w:hAnsi="仿宋_GB2312" w:cs="仿宋_GB2312"/>
                <w:sz w:val="24"/>
                <w:szCs w:val="24"/>
                <w:lang w:val="en-US" w:eastAsia="zh-CN"/>
              </w:rPr>
              <w:t>（</w:t>
            </w:r>
            <w:r>
              <w:rPr>
                <w:rFonts w:hint="eastAsia" w:ascii="仿宋_GB2312" w:hAnsi="仿宋_GB2312" w:cs="仿宋_GB2312"/>
                <w:sz w:val="24"/>
                <w:szCs w:val="24"/>
                <w:lang w:val="en-US" w:eastAsia="zh-CN"/>
              </w:rPr>
              <w:t>二</w:t>
            </w:r>
            <w:r>
              <w:rPr>
                <w:rFonts w:hint="default" w:ascii="仿宋_GB2312" w:hAnsi="仿宋_GB2312" w:cs="仿宋_GB2312"/>
                <w:sz w:val="24"/>
                <w:szCs w:val="24"/>
                <w:lang w:val="en-US" w:eastAsia="zh-CN"/>
              </w:rPr>
              <w:t>）教学方法​</w:t>
            </w:r>
            <w:r>
              <w:rPr>
                <w:rFonts w:hint="default" w:ascii="仿宋_GB2312" w:hAnsi="仿宋_GB2312" w:cs="仿宋_GB2312"/>
                <w:sz w:val="24"/>
                <w:szCs w:val="24"/>
              </w:rPr>
              <w:t>讲授法：系统讲解风险评估的基础理论知识，包括概念、重要性、流程框架等，为学生搭建起知识体系的基本架构。详细阐述各类风险评估方法的原理、适用范围和操作要点，确保学生掌握核心知识。​</w:t>
            </w:r>
          </w:p>
          <w:p w14:paraId="38ED8F41">
            <w:pPr>
              <w:keepNext w:val="0"/>
              <w:keepLines w:val="0"/>
              <w:suppressLineNumbers w:val="0"/>
              <w:spacing w:before="0" w:beforeAutospacing="0" w:after="0" w:afterAutospacing="0" w:line="240" w:lineRule="auto"/>
              <w:ind w:left="0" w:right="0" w:firstLine="0" w:firstLineChars="0"/>
              <w:jc w:val="both"/>
              <w:rPr>
                <w:rFonts w:hint="default" w:ascii="仿宋_GB2312" w:hAnsi="仿宋_GB2312" w:cs="仿宋_GB2312"/>
                <w:sz w:val="24"/>
                <w:szCs w:val="24"/>
              </w:rPr>
            </w:pPr>
            <w:r>
              <w:rPr>
                <w:rFonts w:hint="default" w:ascii="仿宋_GB2312" w:hAnsi="仿宋_GB2312" w:cs="仿宋_GB2312"/>
                <w:sz w:val="24"/>
                <w:szCs w:val="24"/>
              </w:rPr>
              <w:t>案例教学法：引入丰富多样的实际案例，涵盖不同行业、不同类型的项目，如建筑工程项目的风险评估、金融投资项目的风险评估等。通过对案例的深入剖析，引导学生学会如何在实际情境中运用风险评估方法，识别风险、分析风险并制定应对策略，加深学生对知识的理解和应用能力。​</w:t>
            </w:r>
          </w:p>
          <w:p w14:paraId="3F4E0B6A">
            <w:pPr>
              <w:keepNext w:val="0"/>
              <w:keepLines w:val="0"/>
              <w:suppressLineNumbers w:val="0"/>
              <w:spacing w:before="0" w:beforeAutospacing="0" w:after="0" w:afterAutospacing="0" w:line="240" w:lineRule="auto"/>
              <w:ind w:left="0" w:right="0" w:firstLine="0" w:firstLineChars="0"/>
              <w:jc w:val="both"/>
              <w:rPr>
                <w:rFonts w:hint="default" w:ascii="仿宋_GB2312" w:hAnsi="仿宋_GB2312" w:cs="仿宋_GB2312"/>
                <w:sz w:val="24"/>
                <w:szCs w:val="24"/>
              </w:rPr>
            </w:pPr>
            <w:r>
              <w:rPr>
                <w:rFonts w:hint="default" w:ascii="仿宋_GB2312" w:hAnsi="仿宋_GB2312" w:cs="仿宋_GB2312"/>
                <w:sz w:val="24"/>
                <w:szCs w:val="24"/>
              </w:rPr>
              <w:t>小组讨论法：组织学生分组讨论特定的风险评估议题，如在新兴行业中如何进行风险评估、大数据时代风险评估面临的挑战与机遇等。鼓励学生分享各自的观点和经验，促进思想碰撞，培养学生的批判性思维和团队协作能力。</w:t>
            </w:r>
          </w:p>
          <w:p w14:paraId="24AE9871">
            <w:pPr>
              <w:keepNext w:val="0"/>
              <w:keepLines w:val="0"/>
              <w:suppressLineNumbers w:val="0"/>
              <w:spacing w:before="0" w:beforeAutospacing="0" w:after="0" w:afterAutospacing="0" w:line="240" w:lineRule="auto"/>
              <w:ind w:left="0" w:right="0" w:firstLine="0" w:firstLineChars="0"/>
              <w:jc w:val="both"/>
              <w:rPr>
                <w:rFonts w:hint="default" w:ascii="仿宋_GB2312" w:hAnsi="仿宋_GB2312" w:cs="仿宋_GB2312"/>
                <w:sz w:val="24"/>
                <w:szCs w:val="24"/>
              </w:rPr>
            </w:pPr>
          </w:p>
        </w:tc>
        <w:tc>
          <w:tcPr>
            <w:tcW w:w="1843" w:type="dxa"/>
            <w:tcBorders>
              <w:tl2br w:val="nil"/>
              <w:tr2bl w:val="nil"/>
            </w:tcBorders>
            <w:vAlign w:val="center"/>
          </w:tcPr>
          <w:p w14:paraId="1CDA7A5C">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“防范资本无序扩张的政策合规性分析”，通过模拟案例和大数据分析技术，让学生在识别风险的同时理解政策背景，提升合规意识和职业责任感。</w:t>
            </w:r>
          </w:p>
          <w:p w14:paraId="6850F2F3">
            <w:pPr>
              <w:keepNext w:val="0"/>
              <w:keepLines w:val="0"/>
              <w:suppressLineNumbers w:val="0"/>
              <w:spacing w:before="0" w:beforeAutospacing="0" w:after="0" w:afterAutospacing="0" w:line="240" w:lineRule="auto"/>
              <w:ind w:left="0" w:right="0" w:firstLine="0" w:firstLineChars="0"/>
              <w:jc w:val="both"/>
              <w:rPr>
                <w:rFonts w:hint="default" w:ascii="仿宋_GB2312" w:hAnsi="仿宋_GB2312" w:cs="仿宋_GB2312"/>
                <w:sz w:val="24"/>
                <w:szCs w:val="24"/>
              </w:rPr>
            </w:pPr>
          </w:p>
        </w:tc>
        <w:tc>
          <w:tcPr>
            <w:tcW w:w="567" w:type="dxa"/>
            <w:tcBorders>
              <w:tl2br w:val="nil"/>
              <w:tr2bl w:val="nil"/>
            </w:tcBorders>
            <w:vAlign w:val="center"/>
          </w:tcPr>
          <w:p w14:paraId="1F0F5E82">
            <w:pPr>
              <w:keepNext w:val="0"/>
              <w:keepLines w:val="0"/>
              <w:suppressLineNumbers w:val="0"/>
              <w:spacing w:before="0" w:beforeAutospacing="0" w:after="0" w:afterAutospacing="0"/>
              <w:ind w:left="0" w:right="0"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6</w:t>
            </w:r>
          </w:p>
        </w:tc>
      </w:tr>
      <w:tr w14:paraId="69FF9F9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75" w:type="dxa"/>
            <w:tcBorders>
              <w:tl2br w:val="nil"/>
              <w:tr2bl w:val="nil"/>
            </w:tcBorders>
            <w:vAlign w:val="center"/>
          </w:tcPr>
          <w:p w14:paraId="10E08445">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5</w:t>
            </w:r>
          </w:p>
        </w:tc>
        <w:tc>
          <w:tcPr>
            <w:tcW w:w="1202" w:type="dxa"/>
            <w:tcBorders>
              <w:tl2br w:val="nil"/>
              <w:tr2bl w:val="nil"/>
            </w:tcBorders>
            <w:vAlign w:val="center"/>
          </w:tcPr>
          <w:p w14:paraId="41112C86">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 xml:space="preserve">5. </w:t>
            </w:r>
            <w:bookmarkStart w:id="47" w:name="OLE_LINK9"/>
            <w:r>
              <w:rPr>
                <w:rFonts w:hint="default" w:ascii="方正仿宋_GB2312" w:hAnsi="方正仿宋_GB2312" w:eastAsia="方正仿宋_GB2312" w:cs="方正仿宋_GB2312"/>
                <w:b w:val="0"/>
                <w:bCs w:val="0"/>
                <w:color w:val="auto"/>
                <w:sz w:val="21"/>
                <w:szCs w:val="21"/>
                <w:lang w:val="en-US" w:eastAsia="zh-CN"/>
              </w:rPr>
              <w:t>控制活动</w:t>
            </w:r>
          </w:p>
          <w:bookmarkEnd w:id="47"/>
          <w:p w14:paraId="4CF849A2">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p>
          <w:p w14:paraId="41A42CC0">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83" w:type="dxa"/>
            <w:tcBorders>
              <w:tl2br w:val="nil"/>
              <w:tr2bl w:val="nil"/>
            </w:tcBorders>
            <w:vAlign w:val="center"/>
          </w:tcPr>
          <w:p w14:paraId="2BE3A4EC">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bookmarkStart w:id="48" w:name="OLE_LINK17"/>
            <w:r>
              <w:rPr>
                <w:rFonts w:hint="default" w:ascii="仿宋_GB2312" w:hAnsi="仿宋_GB2312" w:cs="仿宋_GB2312"/>
                <w:sz w:val="24"/>
                <w:szCs w:val="24"/>
              </w:rPr>
              <w:t>深入探究控制活动的定义、目标与意义，梳理其在内部控制体系中的关键作用与运作逻辑。研读专业教材、学术文献，整理控制活动与内部控制其他要素的内在联系，搭建系统的知识框架。</w:t>
            </w:r>
            <w:bookmarkEnd w:id="48"/>
          </w:p>
        </w:tc>
        <w:tc>
          <w:tcPr>
            <w:tcW w:w="1936" w:type="dxa"/>
            <w:tcBorders>
              <w:tl2br w:val="nil"/>
              <w:tr2bl w:val="nil"/>
            </w:tcBorders>
            <w:vAlign w:val="center"/>
          </w:tcPr>
          <w:p w14:paraId="0B2CBC79">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学习内容：</w:t>
            </w:r>
          </w:p>
          <w:p w14:paraId="25DABDD9">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控制活动的种类与实施、信息与沟通在控制活动中的角色、监控与改进控制活动。</w:t>
            </w:r>
          </w:p>
          <w:p w14:paraId="726F7F2F">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要求：</w:t>
            </w:r>
          </w:p>
          <w:p w14:paraId="13733F15">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bookmarkStart w:id="49" w:name="OLE_LINK25"/>
            <w:r>
              <w:rPr>
                <w:rFonts w:hint="eastAsia" w:ascii="仿宋_GB2312"/>
                <w:sz w:val="24"/>
                <w:szCs w:val="24"/>
                <w:lang w:val="en-US" w:eastAsia="zh-CN"/>
              </w:rPr>
              <w:t>能够精准阐释控制活动的定义、目标，清晰阐述其在内部控制体系中的核心地位与作用机制，准确说明控制活动与其他内部控制要素的互动关系。​</w:t>
            </w:r>
          </w:p>
          <w:p w14:paraId="7FD6B3B3">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熟练掌握各类控制活动的概念、原理、操作要点与适用范围，可结合实际企业案例，详细讲解不同控制活动的应用场景与实施效果。​</w:t>
            </w:r>
          </w:p>
          <w:bookmarkEnd w:id="49"/>
          <w:p w14:paraId="2A4DCE72">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1BE0F387">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08B9FF91">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54A6F113">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p>
        </w:tc>
        <w:tc>
          <w:tcPr>
            <w:tcW w:w="1842" w:type="dxa"/>
            <w:tcBorders>
              <w:tl2br w:val="nil"/>
              <w:tr2bl w:val="nil"/>
            </w:tcBorders>
            <w:vAlign w:val="center"/>
          </w:tcPr>
          <w:p w14:paraId="49C9E870">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lang w:val="en-US" w:eastAsia="zh-CN"/>
              </w:rPr>
              <w:t>（一）教学目标​</w:t>
            </w:r>
            <w:r>
              <w:rPr>
                <w:rFonts w:hint="eastAsia" w:ascii="仿宋_GB2312" w:hAnsi="仿宋_GB2312" w:cs="仿宋_GB2312"/>
                <w:sz w:val="24"/>
                <w:szCs w:val="24"/>
                <w:lang w:val="en-US" w:eastAsia="zh-CN"/>
              </w:rPr>
              <w:t>1.</w:t>
            </w:r>
            <w:r>
              <w:rPr>
                <w:rFonts w:hint="default" w:ascii="仿宋_GB2312" w:hAnsi="仿宋_GB2312" w:cs="仿宋_GB2312"/>
                <w:sz w:val="24"/>
                <w:szCs w:val="24"/>
                <w:lang w:val="en-US" w:eastAsia="zh-CN"/>
              </w:rPr>
              <w:t>知识目标</w:t>
            </w:r>
            <w:r>
              <w:rPr>
                <w:rFonts w:hint="default" w:ascii="仿宋_GB2312" w:hAnsi="仿宋_GB2312" w:cs="仿宋_GB2312"/>
                <w:sz w:val="24"/>
                <w:szCs w:val="24"/>
              </w:rPr>
              <w:t>学生能够精准阐述控制活动的定义、目标及在内部控制体系中的关键地位，深入理解控制活动与内部控制其他要素（如控制环境、风险评估等）的内在联系。​</w:t>
            </w:r>
          </w:p>
          <w:p w14:paraId="1A03F41E">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全面掌握各类控制活动的具体内容，包括不相容职务分离控制、授权审批控制、会计系统控制、财产保护控制、预算控制、运营分析控制和绩效考评控制等，清晰区分不同控制活动的适用范围与操作要点。​</w:t>
            </w:r>
          </w:p>
          <w:p w14:paraId="45A97B4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熟悉控制活动在不同行业、不同规模企业中的应用特点，能够结合企业实际业务流程，识别其中涉及的各类控制活动</w:t>
            </w:r>
            <w:r>
              <w:rPr>
                <w:rFonts w:hint="eastAsia" w:ascii="仿宋_GB2312" w:hAnsi="仿宋_GB2312" w:cs="仿宋_GB2312"/>
                <w:sz w:val="24"/>
                <w:szCs w:val="24"/>
                <w:lang w:val="en-US" w:eastAsia="zh-CN"/>
              </w:rPr>
              <w:t>2.</w:t>
            </w:r>
            <w:r>
              <w:rPr>
                <w:rFonts w:hint="default" w:ascii="仿宋_GB2312" w:hAnsi="仿宋_GB2312" w:cs="仿宋_GB2312"/>
                <w:sz w:val="24"/>
                <w:szCs w:val="24"/>
                <w:lang w:val="en-US" w:eastAsia="zh-CN"/>
              </w:rPr>
              <w:t>能力目标​</w:t>
            </w:r>
          </w:p>
          <w:p w14:paraId="594E13F7">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具备运用所学控制活动知识，对给定企业案例的内部控制体系进行深入分析的能力，准确识别企业现有控制活动存在的问题与缺陷，并提出切实可行的改进建议。​</w:t>
            </w:r>
          </w:p>
          <w:p w14:paraId="36BB44CE">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能够根据企业的经营目标、业务特点和风险状况，设计合理有效的控制活动方案，包括确定控制目标、选择控制方法、制定控制程序等，提升学生的实践操作与创新能力。​</w:t>
            </w:r>
          </w:p>
          <w:p w14:paraId="0EA2100A">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通过案例分析、小组讨论等教学活动，培养学生的批判性思维能力和团队协作能力，使其能够在复杂情境中独立思考、分析问题，并与团队成员有效沟通、协同解决问题。​</w:t>
            </w:r>
          </w:p>
          <w:p w14:paraId="477059D4">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3.</w:t>
            </w:r>
            <w:r>
              <w:rPr>
                <w:rFonts w:hint="default" w:ascii="仿宋_GB2312" w:hAnsi="仿宋_GB2312" w:cs="仿宋_GB2312"/>
                <w:sz w:val="24"/>
                <w:szCs w:val="24"/>
                <w:lang w:val="en-US" w:eastAsia="zh-CN"/>
              </w:rPr>
              <w:t>素质目标​</w:t>
            </w:r>
          </w:p>
          <w:p w14:paraId="116936E1">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培养学生严谨细致、实事求是的工作态度，使其在学习和实践控制活动过程中，严格遵循内部控制规范和要求，确保控制活动的有效执行。​</w:t>
            </w:r>
          </w:p>
          <w:p w14:paraId="56B3A0E2">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增强学生的职业道德意识，使其明白在内部控制工作中，严守职业操守、保守企业机密的重要性，树立正确的职业价值观。</w:t>
            </w:r>
          </w:p>
          <w:p w14:paraId="4F2445DD">
            <w:pPr>
              <w:keepNext w:val="0"/>
              <w:keepLines w:val="0"/>
              <w:suppressLineNumbers w:val="0"/>
              <w:spacing w:before="0" w:beforeAutospacing="0" w:after="0" w:afterAutospacing="0" w:line="240" w:lineRule="auto"/>
              <w:ind w:left="0" w:right="0" w:firstLine="0" w:firstLineChars="0"/>
              <w:jc w:val="both"/>
              <w:rPr>
                <w:rFonts w:hint="default" w:ascii="仿宋_GB2312" w:hAnsi="仿宋_GB2312" w:cs="仿宋_GB2312"/>
                <w:sz w:val="24"/>
                <w:szCs w:val="24"/>
              </w:rPr>
            </w:pPr>
            <w:r>
              <w:rPr>
                <w:rFonts w:hint="eastAsia" w:ascii="仿宋_GB2312" w:hAnsi="仿宋_GB2312" w:cs="仿宋_GB2312"/>
                <w:sz w:val="24"/>
                <w:szCs w:val="24"/>
                <w:lang w:val="en-US" w:eastAsia="zh-CN"/>
              </w:rPr>
              <w:t>教学方法：</w:t>
            </w:r>
            <w:r>
              <w:rPr>
                <w:rFonts w:hint="default" w:ascii="仿宋_GB2312" w:hAnsi="仿宋_GB2312" w:cs="仿宋_GB2312"/>
                <w:sz w:val="24"/>
                <w:szCs w:val="24"/>
              </w:rPr>
              <w:t>​</w:t>
            </w:r>
          </w:p>
          <w:p w14:paraId="51F12AD8">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讲授法：系统讲解控制活动的基础理论知识，包括定义、目标、分类及在内部控制体系中的地位等，为学生搭建扎实的知识框架。详细阐释各类控制活动的原理、操作要点和应用场景，确保学生掌握核心知识内容。​</w:t>
            </w:r>
          </w:p>
          <w:p w14:paraId="3A2F43D9">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案例教学法：引入丰富多样的企业案例，涵盖不同行业、不同规模的企业，如制造业企业的生产流程控制活动、金融企业的资金运营控制活动等。通过对案例的深入剖析，引导学生观察、分析企业在实际运营中如何运用各类控制活动防范风险、保障业务顺利开展，加深学生对知识的理解和应用能力。​</w:t>
            </w:r>
          </w:p>
          <w:p w14:paraId="7CA80C34">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小组讨论法：组织学生分组讨论特定的控制活动议题，如 “如何优化企业的预算控制活动以提高资源利用效率”“在数字化转型背景下，企业的会计系统控制面临哪些挑战及应对策略” 等。鼓励学生积极发表观点，分享经验，促进学生之间的思想碰撞和交流，培养学生的团队协作能力和批判性思维。</w:t>
            </w:r>
          </w:p>
          <w:p w14:paraId="7240E1C6">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843" w:type="dxa"/>
            <w:tcBorders>
              <w:tl2br w:val="nil"/>
              <w:tr2bl w:val="nil"/>
            </w:tcBorders>
            <w:vAlign w:val="center"/>
          </w:tcPr>
          <w:p w14:paraId="627E6765">
            <w:pPr>
              <w:keepNext w:val="0"/>
              <w:keepLines w:val="0"/>
              <w:suppressLineNumbers w:val="0"/>
              <w:spacing w:before="0" w:beforeAutospacing="0" w:after="0" w:afterAutospacing="0" w:line="240" w:lineRule="auto"/>
              <w:ind w:left="0" w:right="0" w:firstLine="0" w:firstLineChars="0"/>
              <w:jc w:val="left"/>
              <w:rPr>
                <w:rFonts w:hint="default" w:ascii="仿宋_GB2312" w:hAnsi="仿宋_GB2312" w:cs="仿宋_GB2312"/>
                <w:sz w:val="24"/>
                <w:szCs w:val="24"/>
              </w:rPr>
            </w:pPr>
            <w:r>
              <w:rPr>
                <w:rFonts w:hint="default" w:ascii="仿宋_GB2312" w:hAnsi="仿宋_GB2312" w:cs="仿宋_GB2312"/>
                <w:sz w:val="24"/>
                <w:szCs w:val="24"/>
              </w:rPr>
              <w:t>体现“中小企业减税降费政策的精准落实”，结合真实税务申报数据，设计“政策落实分析”模块，让学生在实践中学会利用数据判断政策执行效果，同时通过角色扮演等方式，引导学生深入思考政策意义，培养职业素养和正确价值观。</w:t>
            </w:r>
          </w:p>
          <w:p w14:paraId="309BE948">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567" w:type="dxa"/>
            <w:tcBorders>
              <w:tl2br w:val="nil"/>
              <w:tr2bl w:val="nil"/>
            </w:tcBorders>
            <w:vAlign w:val="center"/>
          </w:tcPr>
          <w:p w14:paraId="2C60A86A">
            <w:pPr>
              <w:keepNext w:val="0"/>
              <w:keepLines w:val="0"/>
              <w:suppressLineNumbers w:val="0"/>
              <w:spacing w:before="0" w:beforeAutospacing="0" w:after="0" w:afterAutospacing="0"/>
              <w:ind w:left="0" w:right="0"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8</w:t>
            </w:r>
          </w:p>
        </w:tc>
      </w:tr>
      <w:tr w14:paraId="63CA3D6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75" w:type="dxa"/>
            <w:tcBorders>
              <w:tl2br w:val="nil"/>
              <w:tr2bl w:val="nil"/>
            </w:tcBorders>
            <w:vAlign w:val="center"/>
          </w:tcPr>
          <w:p w14:paraId="6AE7B61A">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6</w:t>
            </w:r>
          </w:p>
        </w:tc>
        <w:tc>
          <w:tcPr>
            <w:tcW w:w="1202" w:type="dxa"/>
            <w:tcBorders>
              <w:tl2br w:val="nil"/>
              <w:tr2bl w:val="nil"/>
            </w:tcBorders>
            <w:vAlign w:val="center"/>
          </w:tcPr>
          <w:p w14:paraId="37733718">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6. 信息与沟通</w:t>
            </w:r>
          </w:p>
          <w:p w14:paraId="100F5598">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83" w:type="dxa"/>
            <w:tcBorders>
              <w:tl2br w:val="nil"/>
              <w:tr2bl w:val="nil"/>
            </w:tcBorders>
            <w:vAlign w:val="center"/>
          </w:tcPr>
          <w:p w14:paraId="61DE6B03">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bookmarkStart w:id="50" w:name="OLE_LINK16"/>
            <w:r>
              <w:rPr>
                <w:rFonts w:hint="default" w:ascii="仿宋_GB2312" w:hAnsi="仿宋_GB2312" w:cs="仿宋_GB2312"/>
                <w:sz w:val="24"/>
                <w:szCs w:val="24"/>
              </w:rPr>
              <w:t>深度解读信息与沟通的定义、目标及在内部控制体系中的重要意义。通过查阅经典内部控制教材、权威学术论文，梳理信息与沟通与内部控制其他要素（如控制环境、风险评估、控制活动）的内在关联，构建全面且清晰的知识体系架构。</w:t>
            </w:r>
            <w:bookmarkEnd w:id="50"/>
          </w:p>
        </w:tc>
        <w:tc>
          <w:tcPr>
            <w:tcW w:w="1936" w:type="dxa"/>
            <w:tcBorders>
              <w:tl2br w:val="nil"/>
              <w:tr2bl w:val="nil"/>
            </w:tcBorders>
            <w:vAlign w:val="center"/>
          </w:tcPr>
          <w:p w14:paraId="6BF3EA36">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学习内容：</w:t>
            </w:r>
          </w:p>
          <w:p w14:paraId="4256CDE9">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内部信息传递的重要性、外部信息获取与处理、信息技术在信息与沟通中的应用。</w:t>
            </w:r>
          </w:p>
          <w:p w14:paraId="39A84FF4">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要求：</w:t>
            </w:r>
          </w:p>
          <w:p w14:paraId="546DC80D">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bookmarkStart w:id="51" w:name="OLE_LINK24"/>
            <w:r>
              <w:rPr>
                <w:rFonts w:hint="eastAsia" w:ascii="仿宋_GB2312"/>
                <w:sz w:val="24"/>
                <w:szCs w:val="24"/>
                <w:lang w:val="en-US" w:eastAsia="zh-CN"/>
              </w:rPr>
              <w:t>能够准确无误地阐述信息与沟通的定义、目标，清晰且深入地讲解其在内部控制体系中的核心作用机制，包括如何支持风险评估、控制活动的有效执行，以及与控制环境的相互影响关系。</w:t>
            </w:r>
          </w:p>
          <w:bookmarkEnd w:id="51"/>
          <w:p w14:paraId="1700937C">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6005A6A3">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0148BD4F">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356A14E6">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p>
        </w:tc>
        <w:tc>
          <w:tcPr>
            <w:tcW w:w="1842" w:type="dxa"/>
            <w:tcBorders>
              <w:tl2br w:val="nil"/>
              <w:tr2bl w:val="nil"/>
            </w:tcBorders>
            <w:vAlign w:val="center"/>
          </w:tcPr>
          <w:p w14:paraId="6D2E16CD">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lang w:val="en-US" w:eastAsia="zh-CN"/>
              </w:rPr>
              <w:t>（一）教学目标</w:t>
            </w:r>
            <w:r>
              <w:rPr>
                <w:rFonts w:hint="eastAsia" w:ascii="仿宋_GB2312" w:hAnsi="仿宋_GB2312" w:cs="仿宋_GB2312"/>
                <w:sz w:val="24"/>
                <w:szCs w:val="24"/>
                <w:lang w:val="en-US" w:eastAsia="zh-CN"/>
              </w:rPr>
              <w:t>1.</w:t>
            </w:r>
            <w:r>
              <w:rPr>
                <w:rFonts w:hint="default" w:ascii="仿宋_GB2312" w:hAnsi="仿宋_GB2312" w:cs="仿宋_GB2312"/>
                <w:sz w:val="24"/>
                <w:szCs w:val="24"/>
                <w:lang w:val="en-US" w:eastAsia="zh-CN"/>
              </w:rPr>
              <w:t>知识目标​</w:t>
            </w:r>
          </w:p>
          <w:p w14:paraId="7E968539">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学生能够精准阐释信息与沟通的定义、内涵及在内部控制体系中的核心地位，清晰理解其与内部控制其他要素（控制环境、风险评估、控制活动等）的内在关联，构建系统的知识框架。​​</w:t>
            </w:r>
          </w:p>
          <w:p w14:paraId="55F1A2CC">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2.</w:t>
            </w:r>
            <w:r>
              <w:rPr>
                <w:rFonts w:hint="default" w:ascii="仿宋_GB2312" w:hAnsi="仿宋_GB2312" w:cs="仿宋_GB2312"/>
                <w:sz w:val="24"/>
                <w:szCs w:val="24"/>
                <w:lang w:val="en-US" w:eastAsia="zh-CN"/>
              </w:rPr>
              <w:t>能力目标​</w:t>
            </w:r>
          </w:p>
          <w:p w14:paraId="2DB198F7">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具备运用所学知识分析企业信息与沟通实际案例的能力，能够准确识别案例中信息与沟通环节存在的问题，如信息失真、沟通不畅等，并深入分析问题产生的原因，提出切实可行的改进建议。</w:t>
            </w:r>
            <w:r>
              <w:rPr>
                <w:rFonts w:hint="eastAsia" w:ascii="仿宋_GB2312" w:hAnsi="仿宋_GB2312" w:cs="仿宋_GB2312"/>
                <w:sz w:val="24"/>
                <w:szCs w:val="24"/>
                <w:lang w:val="en-US" w:eastAsia="zh-CN"/>
              </w:rPr>
              <w:t>3.</w:t>
            </w:r>
            <w:r>
              <w:rPr>
                <w:rFonts w:hint="default" w:ascii="仿宋_GB2312" w:hAnsi="仿宋_GB2312" w:cs="仿宋_GB2312"/>
                <w:sz w:val="24"/>
                <w:szCs w:val="24"/>
                <w:lang w:val="en-US" w:eastAsia="zh-CN"/>
              </w:rPr>
              <w:t>素质目标​</w:t>
            </w:r>
          </w:p>
          <w:p w14:paraId="597ADC9B">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培养学生严谨负责的工作态度，使其在信息收集、处理与传递过程中，始终保持信息的准确性、完整性与及时性，树立高度的责任感。​</w:t>
            </w:r>
          </w:p>
          <w:p w14:paraId="2946731A">
            <w:pPr>
              <w:keepNext w:val="0"/>
              <w:keepLines w:val="0"/>
              <w:numPr>
                <w:ilvl w:val="0"/>
                <w:numId w:val="0"/>
              </w:numPr>
              <w:suppressLineNumbers w:val="0"/>
              <w:spacing w:before="0" w:beforeAutospacing="0" w:after="0" w:afterAutospacing="0" w:line="240" w:lineRule="auto"/>
              <w:ind w:left="0" w:leftChars="0" w:right="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（二）教学方法</w:t>
            </w:r>
          </w:p>
          <w:p w14:paraId="325BFCCD">
            <w:pPr>
              <w:keepNext w:val="0"/>
              <w:keepLines w:val="0"/>
              <w:numPr>
                <w:ilvl w:val="0"/>
                <w:numId w:val="0"/>
              </w:numPr>
              <w:suppressLineNumbers w:val="0"/>
              <w:spacing w:before="0" w:beforeAutospacing="0" w:after="0" w:afterAutospacing="0" w:line="240" w:lineRule="auto"/>
              <w:ind w:left="0" w:leftChars="0" w:right="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1.讲授法：系统讲解信息与沟通的基础理论知识，包括定义、目标、构成要素及在内部控制体系中的地位等，为学生搭建扎实的知识框架。详细阐释信息与沟通各环节的操作要点、原理和应用场景，确保学生掌握核心知识内容。​</w:t>
            </w:r>
          </w:p>
          <w:p w14:paraId="2711416E">
            <w:pPr>
              <w:keepNext w:val="0"/>
              <w:keepLines w:val="0"/>
              <w:numPr>
                <w:ilvl w:val="0"/>
                <w:numId w:val="0"/>
              </w:numPr>
              <w:suppressLineNumbers w:val="0"/>
              <w:spacing w:before="0" w:beforeAutospacing="0" w:after="0" w:afterAutospacing="0" w:line="240" w:lineRule="auto"/>
              <w:ind w:left="0" w:leftChars="0" w:right="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2.案例教学法：引入丰富多样的企业案例，涵盖不同行业、规模和发展阶段的企业，如制造业企业的生产信息沟通、金融企业的风险管理信息传递等。通过对案例的深入剖析，引导学生观察、分析企业在实际运营中如何运用信息与沟通手段解决问题、防范风险，加深学生对知识的理解和应用能力。3.小组讨论法：组织学生分组讨论特定的信息与沟通议题，如 “如何优化企业跨部门信息沟通效率”“在数字化时代，企业如何利用大数据提升信息收集的精准性” 等。鼓励学生积极发表观点，分享经验，促进学生之间的思想碰撞和交流，培养学生的团队协作能力和批判性思维。</w:t>
            </w:r>
          </w:p>
          <w:p w14:paraId="5401A5F0">
            <w:pPr>
              <w:keepNext w:val="0"/>
              <w:keepLines w:val="0"/>
              <w:numPr>
                <w:ilvl w:val="0"/>
                <w:numId w:val="0"/>
              </w:numPr>
              <w:suppressLineNumbers w:val="0"/>
              <w:spacing w:before="0" w:beforeAutospacing="0" w:after="0" w:afterAutospacing="0" w:line="240" w:lineRule="auto"/>
              <w:ind w:left="0" w:leftChars="0" w:right="0"/>
              <w:jc w:val="both"/>
              <w:rPr>
                <w:rFonts w:hint="eastAsia" w:ascii="仿宋_GB2312" w:hAnsi="仿宋_GB2312" w:cs="仿宋_GB2312"/>
                <w:sz w:val="24"/>
                <w:szCs w:val="24"/>
                <w:lang w:val="en-US" w:eastAsia="zh-CN"/>
              </w:rPr>
            </w:pPr>
          </w:p>
          <w:p w14:paraId="68DE8059">
            <w:pPr>
              <w:keepNext w:val="0"/>
              <w:keepLines w:val="0"/>
              <w:numPr>
                <w:ilvl w:val="0"/>
                <w:numId w:val="0"/>
              </w:numPr>
              <w:suppressLineNumbers w:val="0"/>
              <w:spacing w:before="0" w:beforeAutospacing="0" w:after="0" w:afterAutospacing="0" w:line="240" w:lineRule="auto"/>
              <w:ind w:left="0" w:leftChars="0" w:right="0"/>
              <w:jc w:val="both"/>
              <w:rPr>
                <w:rFonts w:hint="eastAsia" w:ascii="仿宋_GB2312" w:hAnsi="仿宋_GB2312" w:cs="仿宋_GB2312"/>
                <w:sz w:val="24"/>
                <w:szCs w:val="24"/>
                <w:lang w:val="en-US" w:eastAsia="zh-CN"/>
              </w:rPr>
            </w:pPr>
          </w:p>
          <w:p w14:paraId="570D3597">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843" w:type="dxa"/>
            <w:tcBorders>
              <w:tl2br w:val="nil"/>
              <w:tr2bl w:val="nil"/>
            </w:tcBorders>
            <w:vAlign w:val="center"/>
          </w:tcPr>
          <w:p w14:paraId="02B535F2">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在分析因信息虚假或沟通不畅导致企业重大损失的案例时，如某上市公司因财务信息造假引发股价暴跌，给投资者带来巨大损失。引导学生讨论此类行为的危害，强调诚信在信息与沟通中的重要性，培养学生的诚信意识和职业道德。</w:t>
            </w:r>
          </w:p>
        </w:tc>
        <w:tc>
          <w:tcPr>
            <w:tcW w:w="567" w:type="dxa"/>
            <w:tcBorders>
              <w:tl2br w:val="nil"/>
              <w:tr2bl w:val="nil"/>
            </w:tcBorders>
            <w:vAlign w:val="center"/>
          </w:tcPr>
          <w:p w14:paraId="6D36FC3D">
            <w:pPr>
              <w:keepNext w:val="0"/>
              <w:keepLines w:val="0"/>
              <w:suppressLineNumbers w:val="0"/>
              <w:spacing w:before="0" w:beforeAutospacing="0" w:after="0" w:afterAutospacing="0"/>
              <w:ind w:left="0" w:right="0"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6</w:t>
            </w:r>
          </w:p>
        </w:tc>
      </w:tr>
      <w:tr w14:paraId="2646A61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75" w:type="dxa"/>
            <w:tcBorders>
              <w:tl2br w:val="nil"/>
              <w:tr2bl w:val="nil"/>
            </w:tcBorders>
            <w:vAlign w:val="center"/>
          </w:tcPr>
          <w:p w14:paraId="258D3357">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7</w:t>
            </w:r>
          </w:p>
        </w:tc>
        <w:tc>
          <w:tcPr>
            <w:tcW w:w="1202" w:type="dxa"/>
            <w:tcBorders>
              <w:tl2br w:val="nil"/>
              <w:tr2bl w:val="nil"/>
            </w:tcBorders>
            <w:vAlign w:val="center"/>
          </w:tcPr>
          <w:p w14:paraId="02432282">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方正仿宋_GB2312" w:hAnsi="方正仿宋_GB2312" w:eastAsia="方正仿宋_GB2312" w:cs="方正仿宋_GB2312"/>
                <w:b w:val="0"/>
                <w:bCs w:val="0"/>
                <w:color w:val="auto"/>
                <w:sz w:val="21"/>
                <w:szCs w:val="21"/>
                <w:lang w:val="en-US" w:eastAsia="zh-CN"/>
              </w:rPr>
              <w:t>7. 内部控制的监督</w:t>
            </w:r>
          </w:p>
        </w:tc>
        <w:tc>
          <w:tcPr>
            <w:tcW w:w="1183" w:type="dxa"/>
            <w:tcBorders>
              <w:tl2br w:val="nil"/>
              <w:tr2bl w:val="nil"/>
            </w:tcBorders>
            <w:vAlign w:val="center"/>
          </w:tcPr>
          <w:p w14:paraId="0536071B">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bookmarkStart w:id="52" w:name="OLE_LINK15"/>
            <w:r>
              <w:rPr>
                <w:rFonts w:hint="default" w:ascii="仿宋_GB2312" w:hAnsi="仿宋_GB2312" w:cs="仿宋_GB2312"/>
                <w:sz w:val="24"/>
                <w:szCs w:val="24"/>
              </w:rPr>
              <w:t>深入研读内部控制监督的定义、目标以及在整个内部控制体系中的关键地位，结合 COSO 内部控制框架等权威理论，梳理其与控制环境、风险评估、控制活动和信息与沟通等要素的内在逻辑联系，绘制详细的知识关联思维导图。</w:t>
            </w:r>
            <w:bookmarkEnd w:id="52"/>
          </w:p>
        </w:tc>
        <w:tc>
          <w:tcPr>
            <w:tcW w:w="1936" w:type="dxa"/>
            <w:tcBorders>
              <w:tl2br w:val="nil"/>
              <w:tr2bl w:val="nil"/>
            </w:tcBorders>
            <w:vAlign w:val="center"/>
          </w:tcPr>
          <w:p w14:paraId="46789AF1">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学习内容：</w:t>
            </w:r>
          </w:p>
          <w:p w14:paraId="015B3CD6">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监督的目的与方法、内部审计与内部控制、内部控制的自我评估</w:t>
            </w:r>
          </w:p>
          <w:p w14:paraId="5667F718">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要求：</w:t>
            </w:r>
          </w:p>
          <w:p w14:paraId="5FE680BF">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bookmarkStart w:id="53" w:name="OLE_LINK23"/>
            <w:r>
              <w:rPr>
                <w:rFonts w:hint="eastAsia" w:ascii="仿宋_GB2312"/>
                <w:sz w:val="24"/>
                <w:szCs w:val="24"/>
                <w:lang w:val="en-US" w:eastAsia="zh-CN"/>
              </w:rPr>
              <w:t>1.能够准确无误地阐述内部控制监督的定义、目标及在内部控制体系中的核心地位，清晰解释其与其他内部控制要素的内在关联，可随时进行详细讲解。​</w:t>
            </w:r>
          </w:p>
          <w:p w14:paraId="3E572896">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2.熟练掌握内部控制监督的类型、流程、内部控制缺陷认定与报告要求，以及常见监督工具与方法的应用原理。能够结合实际案例，准确说明日常监督和专项监督的实施要点、监督证据的收集与分析方法、监督结果的报告与反馈机制等。</w:t>
            </w:r>
          </w:p>
          <w:bookmarkEnd w:id="53"/>
          <w:p w14:paraId="30D39D1F">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07AD8235">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p>
        </w:tc>
        <w:tc>
          <w:tcPr>
            <w:tcW w:w="1842" w:type="dxa"/>
            <w:tcBorders>
              <w:tl2br w:val="nil"/>
              <w:tr2bl w:val="nil"/>
            </w:tcBorders>
            <w:vAlign w:val="center"/>
          </w:tcPr>
          <w:p w14:paraId="7699EB9C">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（一）</w:t>
            </w:r>
            <w:r>
              <w:rPr>
                <w:rFonts w:hint="default" w:ascii="仿宋_GB2312" w:hAnsi="仿宋_GB2312" w:cs="仿宋_GB2312"/>
                <w:sz w:val="24"/>
                <w:szCs w:val="24"/>
                <w:lang w:val="en-US" w:eastAsia="zh-CN"/>
              </w:rPr>
              <w:t>教学目标​</w:t>
            </w:r>
            <w:r>
              <w:rPr>
                <w:rFonts w:hint="eastAsia" w:ascii="仿宋_GB2312" w:hAnsi="仿宋_GB2312" w:cs="仿宋_GB2312"/>
                <w:sz w:val="24"/>
                <w:szCs w:val="24"/>
                <w:lang w:val="en-US" w:eastAsia="zh-CN"/>
              </w:rPr>
              <w:t>1.</w:t>
            </w:r>
            <w:r>
              <w:rPr>
                <w:rFonts w:hint="default" w:ascii="仿宋_GB2312" w:hAnsi="仿宋_GB2312" w:cs="仿宋_GB2312"/>
                <w:sz w:val="24"/>
                <w:szCs w:val="24"/>
                <w:lang w:val="en-US" w:eastAsia="zh-CN"/>
              </w:rPr>
              <w:t>知识目标​</w:t>
            </w:r>
            <w:r>
              <w:rPr>
                <w:rFonts w:hint="default" w:ascii="仿宋_GB2312" w:hAnsi="仿宋_GB2312" w:cs="仿宋_GB2312"/>
                <w:sz w:val="24"/>
                <w:szCs w:val="24"/>
              </w:rPr>
              <w:t>学生能够精准阐述内部控制监督的定义、目标及在内部控制体系中的关键地位，深入理解其与内部控制其他要素（如控制环境、风险评估、控制活动、信息与沟通）的内在关联，构建系统的知识架构。​</w:t>
            </w:r>
          </w:p>
          <w:p w14:paraId="128BD1E6">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2.</w:t>
            </w:r>
            <w:r>
              <w:rPr>
                <w:rFonts w:hint="default" w:ascii="仿宋_GB2312" w:hAnsi="仿宋_GB2312" w:cs="仿宋_GB2312"/>
                <w:sz w:val="24"/>
                <w:szCs w:val="24"/>
                <w:lang w:val="en-US" w:eastAsia="zh-CN"/>
              </w:rPr>
              <w:t>能力目标​</w:t>
            </w:r>
          </w:p>
          <w:p w14:paraId="52D8278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具备运用所学知识分析企业内部控制监督实际案例的能力，能够准确识别案例中内部控制监督体系存在的问题，如监督不到位、监督程序不合理等，并深入剖析问题产生的原因，提出切实可行的改进建议。</w:t>
            </w:r>
          </w:p>
          <w:p w14:paraId="46C7141C">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3.</w:t>
            </w:r>
            <w:r>
              <w:rPr>
                <w:rFonts w:hint="default" w:ascii="仿宋_GB2312" w:hAnsi="仿宋_GB2312" w:cs="仿宋_GB2312"/>
                <w:sz w:val="24"/>
                <w:szCs w:val="24"/>
                <w:lang w:val="en-US" w:eastAsia="zh-CN"/>
              </w:rPr>
              <w:t>素质目标​</w:t>
            </w:r>
          </w:p>
          <w:p w14:paraId="08C4808F">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培养学生严谨细致、实事求是的工作态度，使其在内部控制监督过程中，严格遵循监督程序和要求，确保监督结果的准确性和可靠性，树立高度的责任感。</w:t>
            </w:r>
          </w:p>
          <w:p w14:paraId="3C513E07">
            <w:pPr>
              <w:keepNext w:val="0"/>
              <w:keepLines w:val="0"/>
              <w:numPr>
                <w:ilvl w:val="0"/>
                <w:numId w:val="0"/>
              </w:numPr>
              <w:suppressLineNumbers w:val="0"/>
              <w:spacing w:before="0" w:beforeAutospacing="0" w:after="0" w:afterAutospacing="0" w:line="240" w:lineRule="auto"/>
              <w:ind w:left="0" w:leftChars="0" w:right="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教学方法：</w:t>
            </w:r>
          </w:p>
          <w:p w14:paraId="58645089">
            <w:pPr>
              <w:keepNext w:val="0"/>
              <w:keepLines w:val="0"/>
              <w:numPr>
                <w:ilvl w:val="0"/>
                <w:numId w:val="0"/>
              </w:numPr>
              <w:suppressLineNumbers w:val="0"/>
              <w:spacing w:before="0" w:beforeAutospacing="0" w:after="0" w:afterAutospacing="0" w:line="240" w:lineRule="auto"/>
              <w:ind w:left="0" w:leftChars="0" w:right="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讲授法：系统讲解内部控制监督的基础理论知识，包括定义、目标、类型、流程及在内部控制体系中的地位等，为学生搭建扎实的知识框架。详细阐释内部控制监督各环节的操作要点、原理和应用场景，确保学生掌握核心知识内容。​</w:t>
            </w:r>
          </w:p>
          <w:p w14:paraId="10C60625">
            <w:pPr>
              <w:keepNext w:val="0"/>
              <w:keepLines w:val="0"/>
              <w:numPr>
                <w:ilvl w:val="0"/>
                <w:numId w:val="0"/>
              </w:numPr>
              <w:suppressLineNumbers w:val="0"/>
              <w:spacing w:before="0" w:beforeAutospacing="0" w:after="0" w:afterAutospacing="0" w:line="240" w:lineRule="auto"/>
              <w:ind w:left="0" w:leftChars="0" w:right="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案例教学法：引入丰富多样的企业案例，涵盖不同行业、规模和发展阶段的企业，如制造业企业的生产过程监督、金融企业的风险管理监督等。通过对案例的深入剖析，引导学生观察、分析企业在实际运营中如何运用内部控制监督手段解决问题、防范风险，加深学生对知识的理解和应用能力。​</w:t>
            </w:r>
          </w:p>
          <w:p w14:paraId="68ABC987">
            <w:pPr>
              <w:keepNext w:val="0"/>
              <w:keepLines w:val="0"/>
              <w:numPr>
                <w:ilvl w:val="0"/>
                <w:numId w:val="0"/>
              </w:numPr>
              <w:suppressLineNumbers w:val="0"/>
              <w:spacing w:before="0" w:beforeAutospacing="0" w:after="0" w:afterAutospacing="0" w:line="240" w:lineRule="auto"/>
              <w:ind w:left="0" w:leftChars="0" w:right="0"/>
              <w:jc w:val="both"/>
              <w:rPr>
                <w:rFonts w:hint="default" w:ascii="仿宋_GB2312" w:hAnsi="仿宋_GB2312" w:cs="仿宋_GB2312"/>
                <w:sz w:val="24"/>
                <w:szCs w:val="24"/>
                <w:lang w:val="en-US" w:eastAsia="zh-CN"/>
              </w:rPr>
            </w:pPr>
          </w:p>
          <w:p w14:paraId="23FCAA1F">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843" w:type="dxa"/>
            <w:tcBorders>
              <w:tl2br w:val="nil"/>
              <w:tr2bl w:val="nil"/>
            </w:tcBorders>
            <w:vAlign w:val="center"/>
          </w:tcPr>
          <w:p w14:paraId="5A8AD5D3">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以一些企业通过有效的内部控制监督，积极履行社会责任，保障企业可持续发展的案例为切入点，如某环保企业通过严格的内部监督确保环保措施落实到位，减少环境污染。讲解企业在内部控制监督中应承担的社会责任，增强学生的社会责任感。</w:t>
            </w:r>
          </w:p>
        </w:tc>
        <w:tc>
          <w:tcPr>
            <w:tcW w:w="567" w:type="dxa"/>
            <w:tcBorders>
              <w:tl2br w:val="nil"/>
              <w:tr2bl w:val="nil"/>
            </w:tcBorders>
            <w:vAlign w:val="center"/>
          </w:tcPr>
          <w:p w14:paraId="05EE2935">
            <w:pPr>
              <w:keepNext w:val="0"/>
              <w:keepLines w:val="0"/>
              <w:suppressLineNumbers w:val="0"/>
              <w:spacing w:before="0" w:beforeAutospacing="0" w:after="0" w:afterAutospacing="0"/>
              <w:ind w:left="0" w:right="0"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6</w:t>
            </w:r>
          </w:p>
        </w:tc>
      </w:tr>
      <w:tr w14:paraId="28A144A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75" w:type="dxa"/>
            <w:tcBorders>
              <w:tl2br w:val="nil"/>
              <w:tr2bl w:val="nil"/>
            </w:tcBorders>
            <w:vAlign w:val="center"/>
          </w:tcPr>
          <w:p w14:paraId="4A920761">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8</w:t>
            </w:r>
          </w:p>
        </w:tc>
        <w:tc>
          <w:tcPr>
            <w:tcW w:w="1202" w:type="dxa"/>
            <w:tcBorders>
              <w:tl2br w:val="nil"/>
              <w:tr2bl w:val="nil"/>
            </w:tcBorders>
            <w:vAlign w:val="center"/>
          </w:tcPr>
          <w:p w14:paraId="699F3B39">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8. 内部控制案例分析</w:t>
            </w:r>
          </w:p>
          <w:p w14:paraId="2B362F1E">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83" w:type="dxa"/>
            <w:tcBorders>
              <w:tl2br w:val="nil"/>
              <w:tr2bl w:val="nil"/>
            </w:tcBorders>
            <w:vAlign w:val="center"/>
          </w:tcPr>
          <w:p w14:paraId="6C634082">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bookmarkStart w:id="54" w:name="OLE_LINK14"/>
            <w:r>
              <w:rPr>
                <w:rFonts w:hint="default" w:ascii="仿宋_GB2312" w:hAnsi="仿宋_GB2312" w:cs="仿宋_GB2312"/>
                <w:sz w:val="24"/>
                <w:szCs w:val="24"/>
              </w:rPr>
              <w:t>系统梳理内部控制的基础概念、构成要素及其内在逻辑关系，通过绘制思维导图、编写知识总结手册等方式，强化对内部控制理论体系的理解与记忆。研读 COSO 内部控制框架、我国企业内部控制基本规范等权威资料，深入领会内部控制在企业管理中的核心地位与作用机制</w:t>
            </w:r>
            <w:bookmarkEnd w:id="54"/>
            <w:r>
              <w:rPr>
                <w:rFonts w:hint="default" w:ascii="仿宋_GB2312" w:hAnsi="仿宋_GB2312" w:cs="仿宋_GB2312"/>
                <w:sz w:val="24"/>
                <w:szCs w:val="24"/>
              </w:rPr>
              <w:t>。</w:t>
            </w:r>
          </w:p>
        </w:tc>
        <w:tc>
          <w:tcPr>
            <w:tcW w:w="1936" w:type="dxa"/>
            <w:tcBorders>
              <w:tl2br w:val="nil"/>
              <w:tr2bl w:val="nil"/>
            </w:tcBorders>
            <w:vAlign w:val="center"/>
          </w:tcPr>
          <w:p w14:paraId="41AD51E7">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学习内容：</w:t>
            </w:r>
          </w:p>
          <w:p w14:paraId="78711CA8">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国内外企业内部控制成功与失败案例</w:t>
            </w:r>
          </w:p>
          <w:p w14:paraId="2316AB1C">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要求：</w:t>
            </w:r>
          </w:p>
          <w:p w14:paraId="28285744">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bookmarkStart w:id="55" w:name="OLE_LINK22"/>
            <w:r>
              <w:rPr>
                <w:rFonts w:hint="eastAsia" w:ascii="仿宋_GB2312"/>
                <w:sz w:val="24"/>
                <w:szCs w:val="24"/>
                <w:lang w:val="en-US" w:eastAsia="zh-CN"/>
              </w:rPr>
              <w:t>1.能够准确无误地阐述内部控制的基本概念、构成要素及各要素间的内在逻辑关系，清晰解释内部控制在企业管理中的核心地位与作用，可随时进行详细讲解。2.熟练掌握内部控制案例分析的方法与流程，熟悉各类案例信息收集渠道与分析工具的应用。能够准确识别案例中内部控制的关键环节与问题，运用所学理论知识进行深入分析。</w:t>
            </w:r>
          </w:p>
          <w:p w14:paraId="02C845A2">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bookmarkEnd w:id="55"/>
          <w:p w14:paraId="3893A279">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2EBC0CC9">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p>
        </w:tc>
        <w:tc>
          <w:tcPr>
            <w:tcW w:w="1842" w:type="dxa"/>
            <w:tcBorders>
              <w:tl2br w:val="nil"/>
              <w:tr2bl w:val="nil"/>
            </w:tcBorders>
            <w:vAlign w:val="center"/>
          </w:tcPr>
          <w:p w14:paraId="22CC6881">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（一）</w:t>
            </w:r>
            <w:r>
              <w:rPr>
                <w:rFonts w:hint="default" w:ascii="仿宋_GB2312" w:hAnsi="仿宋_GB2312" w:cs="仿宋_GB2312"/>
                <w:sz w:val="24"/>
                <w:szCs w:val="24"/>
                <w:lang w:val="en-US" w:eastAsia="zh-CN"/>
              </w:rPr>
              <w:t>教学目标</w:t>
            </w:r>
            <w:r>
              <w:rPr>
                <w:rFonts w:hint="eastAsia" w:ascii="仿宋_GB2312" w:hAnsi="仿宋_GB2312" w:cs="仿宋_GB2312"/>
                <w:sz w:val="24"/>
                <w:szCs w:val="24"/>
                <w:lang w:val="en-US" w:eastAsia="zh-CN"/>
              </w:rPr>
              <w:t>1.</w:t>
            </w:r>
            <w:r>
              <w:rPr>
                <w:rFonts w:hint="default" w:ascii="仿宋_GB2312" w:hAnsi="仿宋_GB2312" w:cs="仿宋_GB2312"/>
                <w:sz w:val="24"/>
                <w:szCs w:val="24"/>
                <w:lang w:val="en-US" w:eastAsia="zh-CN"/>
              </w:rPr>
              <w:t>知识目标</w:t>
            </w:r>
            <w:r>
              <w:rPr>
                <w:rFonts w:hint="default" w:ascii="仿宋_GB2312" w:hAnsi="仿宋_GB2312" w:cs="仿宋_GB2312"/>
                <w:sz w:val="24"/>
                <w:szCs w:val="24"/>
              </w:rPr>
              <w:t>学生能够精准阐述内部控制的基本概念、构成要素（控制环境、风险评估、控制活动、信息与沟通、内部监督）及各要素间的内在逻辑关系，深入理解内部控制在企业管理中的核心地位。​</w:t>
            </w:r>
          </w:p>
          <w:p w14:paraId="4C8DACD0">
            <w:pPr>
              <w:keepNext w:val="0"/>
              <w:keepLines w:val="0"/>
              <w:suppressLineNumbers w:val="0"/>
              <w:spacing w:before="0" w:beforeAutospacing="0" w:after="0" w:afterAutospacing="0" w:line="240" w:lineRule="auto"/>
              <w:ind w:left="0" w:right="0" w:firstLine="0" w:firstLineChars="0"/>
              <w:jc w:val="both"/>
              <w:rPr>
                <w:rFonts w:hint="default" w:ascii="仿宋_GB2312" w:hAnsi="仿宋_GB2312" w:cs="仿宋_GB2312"/>
                <w:sz w:val="24"/>
                <w:szCs w:val="24"/>
              </w:rPr>
            </w:pPr>
            <w:r>
              <w:rPr>
                <w:rFonts w:hint="default" w:ascii="仿宋_GB2312" w:hAnsi="仿宋_GB2312" w:cs="仿宋_GB2312"/>
                <w:sz w:val="24"/>
                <w:szCs w:val="24"/>
              </w:rPr>
              <w:t>​</w:t>
            </w:r>
            <w:r>
              <w:rPr>
                <w:rFonts w:hint="eastAsia" w:ascii="仿宋_GB2312" w:hAnsi="仿宋_GB2312" w:cs="仿宋_GB2312"/>
                <w:sz w:val="24"/>
                <w:szCs w:val="24"/>
                <w:lang w:val="en-US" w:eastAsia="zh-CN"/>
              </w:rPr>
              <w:t>2.</w:t>
            </w:r>
            <w:r>
              <w:rPr>
                <w:rFonts w:hint="default" w:ascii="仿宋_GB2312" w:hAnsi="仿宋_GB2312" w:cs="仿宋_GB2312"/>
                <w:sz w:val="24"/>
                <w:szCs w:val="24"/>
                <w:lang w:val="en-US" w:eastAsia="zh-CN"/>
              </w:rPr>
              <w:t>能力目标​</w:t>
            </w:r>
            <w:r>
              <w:rPr>
                <w:rFonts w:hint="default" w:ascii="仿宋_GB2312" w:hAnsi="仿宋_GB2312" w:cs="仿宋_GB2312"/>
                <w:sz w:val="24"/>
                <w:szCs w:val="24"/>
              </w:rPr>
              <w:t>具备运用所学内部控制理论知识深入分析实际案例的能力，能够准确判断案例中内部控制体系的有效性，识别存在的缺陷与风险点，并深入剖析问题产生的原因。​</w:t>
            </w:r>
          </w:p>
          <w:p w14:paraId="34F9C4D7">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3.</w:t>
            </w:r>
            <w:r>
              <w:rPr>
                <w:rFonts w:hint="default" w:ascii="仿宋_GB2312" w:hAnsi="仿宋_GB2312" w:cs="仿宋_GB2312"/>
                <w:sz w:val="24"/>
                <w:szCs w:val="24"/>
                <w:lang w:val="en-US" w:eastAsia="zh-CN"/>
              </w:rPr>
              <w:t>素质目标​</w:t>
            </w:r>
          </w:p>
          <w:p w14:paraId="33EA04BC">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培养学生严谨细致、实事求是的工作态度，使其在案例分析过程中，严格遵循分析方法和要求，确保分析结果的准确性和可靠性，树立高度的责任感。​</w:t>
            </w:r>
          </w:p>
          <w:p w14:paraId="32716F4D">
            <w:pPr>
              <w:keepNext w:val="0"/>
              <w:keepLines w:val="0"/>
              <w:suppressLineNumbers w:val="0"/>
              <w:spacing w:before="0" w:beforeAutospacing="0" w:after="0" w:afterAutospacing="0" w:line="240" w:lineRule="auto"/>
              <w:ind w:left="0" w:right="0" w:firstLine="0" w:firstLineChars="0"/>
              <w:jc w:val="center"/>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教学方法：</w:t>
            </w:r>
          </w:p>
          <w:p w14:paraId="7E9CB070">
            <w:pPr>
              <w:keepNext w:val="0"/>
              <w:keepLines w:val="0"/>
              <w:suppressLineNumbers w:val="0"/>
              <w:spacing w:before="0" w:beforeAutospacing="0" w:after="0" w:afterAutospacing="0" w:line="240" w:lineRule="auto"/>
              <w:ind w:left="0" w:right="0" w:firstLine="0" w:firstLineChars="0"/>
              <w:jc w:val="center"/>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1.讲授法：系统讲解内部控制的基础理论知识，包括概念、构成要素、作用等，为案例分析搭建坚实的理论框架。详细阐释内部控制案例分析的方法、流程和要点，确保学生掌握核心分析技能。​</w:t>
            </w:r>
          </w:p>
          <w:p w14:paraId="131948A6">
            <w:pPr>
              <w:keepNext w:val="0"/>
              <w:keepLines w:val="0"/>
              <w:suppressLineNumbers w:val="0"/>
              <w:spacing w:before="0" w:beforeAutospacing="0" w:after="0" w:afterAutospacing="0" w:line="240" w:lineRule="auto"/>
              <w:ind w:left="0" w:right="0" w:firstLine="0" w:firstLineChars="0"/>
              <w:jc w:val="center"/>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2.案例教学法：引入丰富多样的企业内部控制案例，涵盖不同行业、规模和发展阶段的企业，如制造业企业的生产环节内部控制案例、金融企业的风险管理内部控制案例等。​</w:t>
            </w:r>
          </w:p>
          <w:p w14:paraId="69B2B5E1">
            <w:pPr>
              <w:keepNext w:val="0"/>
              <w:keepLines w:val="0"/>
              <w:suppressLineNumbers w:val="0"/>
              <w:spacing w:before="0" w:beforeAutospacing="0" w:after="0" w:afterAutospacing="0" w:line="240" w:lineRule="auto"/>
              <w:ind w:left="0" w:right="0" w:firstLine="0" w:firstLineChars="0"/>
              <w:jc w:val="center"/>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3.小组讨论法：组织学生分组讨论特定的内部控制案例议题，如 “如何优化企业采购环节的内部控制”“在数字化转型背景下，企业如何提升内部控制的有效性” 等。鼓励学生积极发表观点，分享经验，促进学生之间的思想碰撞和交流，培养学生的团队协作能力和批判性思维。</w:t>
            </w:r>
          </w:p>
          <w:p w14:paraId="4B5D1F72">
            <w:pPr>
              <w:keepNext w:val="0"/>
              <w:keepLines w:val="0"/>
              <w:suppressLineNumbers w:val="0"/>
              <w:spacing w:before="0" w:beforeAutospacing="0" w:after="0" w:afterAutospacing="0" w:line="240" w:lineRule="auto"/>
              <w:ind w:left="0" w:right="0" w:firstLine="0" w:firstLineChars="0"/>
              <w:jc w:val="center"/>
              <w:rPr>
                <w:rFonts w:hint="eastAsia" w:ascii="仿宋_GB2312" w:hAnsi="仿宋_GB2312" w:cs="仿宋_GB2312"/>
                <w:sz w:val="24"/>
                <w:szCs w:val="24"/>
                <w:lang w:val="en-US" w:eastAsia="zh-CN"/>
              </w:rPr>
            </w:pPr>
          </w:p>
          <w:p w14:paraId="63B2A997">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843" w:type="dxa"/>
            <w:tcBorders>
              <w:tl2br w:val="nil"/>
              <w:tr2bl w:val="nil"/>
            </w:tcBorders>
            <w:vAlign w:val="center"/>
          </w:tcPr>
          <w:p w14:paraId="32A6C84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精</w:t>
            </w:r>
            <w:r>
              <w:rPr>
                <w:rFonts w:hint="default" w:ascii="仿宋_GB2312" w:hAnsi="仿宋_GB2312" w:cs="仿宋_GB2312"/>
                <w:sz w:val="24"/>
                <w:szCs w:val="24"/>
              </w:rPr>
              <w:t>心挑选正反两面的内部控制案例，通过对案例的深入剖析，引导学生在学习内部控制知识的同时，深刻领悟思政内涵。例如，在讲解内部控制信息真实性时，引入某企业因虚假披露内部控制信息受到监管处罚的案例，让学生从反面案例中吸取教训，强化诚信和法治意识。</w:t>
            </w:r>
          </w:p>
        </w:tc>
        <w:tc>
          <w:tcPr>
            <w:tcW w:w="567" w:type="dxa"/>
            <w:tcBorders>
              <w:tl2br w:val="nil"/>
              <w:tr2bl w:val="nil"/>
            </w:tcBorders>
            <w:vAlign w:val="center"/>
          </w:tcPr>
          <w:p w14:paraId="09982098">
            <w:pPr>
              <w:keepNext w:val="0"/>
              <w:keepLines w:val="0"/>
              <w:suppressLineNumbers w:val="0"/>
              <w:spacing w:before="0" w:beforeAutospacing="0" w:after="0" w:afterAutospacing="0"/>
              <w:ind w:left="0" w:right="0"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8</w:t>
            </w:r>
          </w:p>
        </w:tc>
      </w:tr>
      <w:tr w14:paraId="2ADB845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75" w:type="dxa"/>
            <w:tcBorders>
              <w:tl2br w:val="nil"/>
              <w:tr2bl w:val="nil"/>
            </w:tcBorders>
            <w:vAlign w:val="center"/>
          </w:tcPr>
          <w:p w14:paraId="673A2849">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9</w:t>
            </w:r>
          </w:p>
        </w:tc>
        <w:tc>
          <w:tcPr>
            <w:tcW w:w="1202" w:type="dxa"/>
            <w:tcBorders>
              <w:tl2br w:val="nil"/>
              <w:tr2bl w:val="nil"/>
            </w:tcBorders>
            <w:vAlign w:val="center"/>
          </w:tcPr>
          <w:p w14:paraId="070C01C6">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9. 内部控制的合规性</w:t>
            </w:r>
          </w:p>
          <w:p w14:paraId="533AB7B2">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83" w:type="dxa"/>
            <w:tcBorders>
              <w:tl2br w:val="nil"/>
              <w:tr2bl w:val="nil"/>
            </w:tcBorders>
            <w:vAlign w:val="center"/>
          </w:tcPr>
          <w:p w14:paraId="293BF72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bookmarkStart w:id="56" w:name="OLE_LINK12"/>
            <w:r>
              <w:rPr>
                <w:rFonts w:hint="default" w:ascii="仿宋_GB2312" w:hAnsi="仿宋_GB2312" w:cs="仿宋_GB2312"/>
                <w:sz w:val="24"/>
                <w:szCs w:val="24"/>
              </w:rPr>
              <w:t>系统学习内部控制合规性的基本概念，深入理解其在企业运营中的重要地位与作用。</w:t>
            </w:r>
            <w:bookmarkEnd w:id="56"/>
          </w:p>
        </w:tc>
        <w:tc>
          <w:tcPr>
            <w:tcW w:w="1936" w:type="dxa"/>
            <w:tcBorders>
              <w:tl2br w:val="nil"/>
              <w:tr2bl w:val="nil"/>
            </w:tcBorders>
            <w:vAlign w:val="center"/>
          </w:tcPr>
          <w:p w14:paraId="7DAD6B89">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学习内容：</w:t>
            </w:r>
          </w:p>
          <w:p w14:paraId="5CA024F8">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法律法规对内部控制的要求、内部控制与合规性的关系、合规性风险的识别与管理。</w:t>
            </w:r>
          </w:p>
          <w:p w14:paraId="2C401395">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要求：</w:t>
            </w:r>
          </w:p>
          <w:p w14:paraId="39CE2B1D">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bookmarkStart w:id="57" w:name="OLE_LINK21"/>
            <w:r>
              <w:rPr>
                <w:rFonts w:hint="eastAsia" w:ascii="仿宋_GB2312"/>
                <w:sz w:val="24"/>
                <w:szCs w:val="24"/>
                <w:lang w:val="en-US" w:eastAsia="zh-CN"/>
              </w:rPr>
              <w:t>能够精准阐述内部控制合规性的概念，清晰解读其在企业内部控制体系中的核心作用，准确说明合规性与其他内部控制要素的相互关系，可随时进行详细且有条理的讲解。​</w:t>
            </w:r>
          </w:p>
          <w:p w14:paraId="36EAAECB">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熟悉不同行业与内部控制合规性相关的主要法律法规及监管要求，能够准确指出各项法规对企业内部控制具体环节的规定，如在采购流程、财务报告编制等方面的合规要求。</w:t>
            </w:r>
          </w:p>
          <w:bookmarkEnd w:id="57"/>
          <w:p w14:paraId="143D39E9">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648982FA">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25286CFA">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p>
        </w:tc>
        <w:tc>
          <w:tcPr>
            <w:tcW w:w="1842" w:type="dxa"/>
            <w:tcBorders>
              <w:tl2br w:val="nil"/>
              <w:tr2bl w:val="nil"/>
            </w:tcBorders>
            <w:vAlign w:val="center"/>
          </w:tcPr>
          <w:p w14:paraId="08B4101E">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（一）</w:t>
            </w:r>
            <w:r>
              <w:rPr>
                <w:rFonts w:hint="default" w:ascii="仿宋_GB2312" w:hAnsi="仿宋_GB2312" w:cs="仿宋_GB2312"/>
                <w:sz w:val="24"/>
                <w:szCs w:val="24"/>
                <w:lang w:val="en-US" w:eastAsia="zh-CN"/>
              </w:rPr>
              <w:t>教学目标</w:t>
            </w:r>
            <w:r>
              <w:rPr>
                <w:rFonts w:hint="eastAsia" w:ascii="仿宋_GB2312" w:hAnsi="仿宋_GB2312" w:cs="仿宋_GB2312"/>
                <w:sz w:val="24"/>
                <w:szCs w:val="24"/>
                <w:lang w:val="en-US" w:eastAsia="zh-CN"/>
              </w:rPr>
              <w:t>1.</w:t>
            </w:r>
            <w:r>
              <w:rPr>
                <w:rFonts w:hint="default" w:ascii="仿宋_GB2312" w:hAnsi="仿宋_GB2312" w:cs="仿宋_GB2312"/>
                <w:sz w:val="24"/>
                <w:szCs w:val="24"/>
                <w:lang w:val="en-US" w:eastAsia="zh-CN"/>
              </w:rPr>
              <w:t>知识目标​</w:t>
            </w:r>
          </w:p>
          <w:p w14:paraId="027CEDDB">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学生能够精准阐释内部控制合规性的定义、内涵及在企业运营中的关键地位，深入理解其与内部控制其他要素（控制环境、风险评估、控制活动、信息与沟通、内部监督）的内在逻辑联系，构建系统的知识框架。​​</w:t>
            </w:r>
          </w:p>
          <w:p w14:paraId="41DA5397">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2.</w:t>
            </w:r>
            <w:r>
              <w:rPr>
                <w:rFonts w:hint="default" w:ascii="仿宋_GB2312" w:hAnsi="仿宋_GB2312" w:cs="仿宋_GB2312"/>
                <w:sz w:val="24"/>
                <w:szCs w:val="24"/>
                <w:lang w:val="en-US" w:eastAsia="zh-CN"/>
              </w:rPr>
              <w:t>能力目标​</w:t>
            </w:r>
          </w:p>
          <w:p w14:paraId="546119AF">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具备运用所学知识分析企业内部控制合规性实际案例的能力，能够准确识别案例中企业在内部控制合规性方面存在的问题，深入剖析问题产生的原因，并提出切实可行的改进建议。​</w:t>
            </w:r>
          </w:p>
          <w:p w14:paraId="1F6BDB2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3.</w:t>
            </w:r>
            <w:r>
              <w:rPr>
                <w:rFonts w:hint="default" w:ascii="仿宋_GB2312" w:hAnsi="仿宋_GB2312" w:cs="仿宋_GB2312"/>
                <w:sz w:val="24"/>
                <w:szCs w:val="24"/>
                <w:lang w:val="en-US" w:eastAsia="zh-CN"/>
              </w:rPr>
              <w:t>素质目标​</w:t>
            </w:r>
          </w:p>
          <w:p w14:paraId="586AB0A8">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培养学生严谨负责、实事求是的工作态度，使其在学习和未来工作中，对待内部控制合规性工作始终保持高度的责任感，严格遵循法规要求和工作流程，确保工作质量。​</w:t>
            </w:r>
          </w:p>
          <w:p w14:paraId="2A94BE23">
            <w:pPr>
              <w:keepNext w:val="0"/>
              <w:keepLines w:val="0"/>
              <w:suppressLineNumbers w:val="0"/>
              <w:spacing w:before="0" w:beforeAutospacing="0" w:after="0" w:afterAutospacing="0" w:line="240" w:lineRule="auto"/>
              <w:ind w:left="0" w:right="0" w:firstLine="0" w:firstLineChars="0"/>
              <w:jc w:val="center"/>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教学方法：</w:t>
            </w:r>
          </w:p>
          <w:p w14:paraId="01772431">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1.讲授法：系统讲解内部控制合规性的基础理论知识，包括概念、内涵、与其他内部控制要素的关系等，为学生搭建扎实的知识框架。详细阐释相关法律法规及监管要求，以及企业构建合规性内部控制体系的方法与策略，确保学生掌握核心知识内容。2.案例教学法：引入丰富多样的企业内部控制合规性案例，涵盖不同行业、规模和发展阶段的企业。通过对案例的深入剖析，引导学生观察、分析企业在实际运营中内部控制合规性的运行情况，加深学生对知识的理解和应用能力。</w:t>
            </w:r>
          </w:p>
        </w:tc>
        <w:tc>
          <w:tcPr>
            <w:tcW w:w="1843" w:type="dxa"/>
            <w:tcBorders>
              <w:tl2br w:val="nil"/>
              <w:tr2bl w:val="nil"/>
            </w:tcBorders>
            <w:vAlign w:val="center"/>
          </w:tcPr>
          <w:p w14:paraId="67710CC9">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在分析企业因违反内部控制合规性要求而遭受重大损失的案例时，如某企业因财务造假违反相关法规，导致股价暴跌、企业信誉受损。引导学生讨论此类行为的危害，强调法治观念和诚信意识的重要性，培养学生的职业道德。</w:t>
            </w:r>
          </w:p>
        </w:tc>
        <w:tc>
          <w:tcPr>
            <w:tcW w:w="567" w:type="dxa"/>
            <w:tcBorders>
              <w:tl2br w:val="nil"/>
              <w:tr2bl w:val="nil"/>
            </w:tcBorders>
            <w:vAlign w:val="center"/>
          </w:tcPr>
          <w:p w14:paraId="275DEBB3">
            <w:pPr>
              <w:keepNext w:val="0"/>
              <w:keepLines w:val="0"/>
              <w:suppressLineNumbers w:val="0"/>
              <w:spacing w:before="0" w:beforeAutospacing="0" w:after="0" w:afterAutospacing="0"/>
              <w:ind w:left="0" w:right="0"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6</w:t>
            </w:r>
          </w:p>
        </w:tc>
      </w:tr>
      <w:tr w14:paraId="03C6617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75" w:type="dxa"/>
            <w:tcBorders>
              <w:tl2br w:val="nil"/>
              <w:tr2bl w:val="nil"/>
            </w:tcBorders>
            <w:vAlign w:val="center"/>
          </w:tcPr>
          <w:p w14:paraId="7E8282AD">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10</w:t>
            </w:r>
          </w:p>
        </w:tc>
        <w:tc>
          <w:tcPr>
            <w:tcW w:w="1202" w:type="dxa"/>
            <w:tcBorders>
              <w:tl2br w:val="nil"/>
              <w:tr2bl w:val="nil"/>
            </w:tcBorders>
            <w:vAlign w:val="center"/>
          </w:tcPr>
          <w:p w14:paraId="598FF2AE">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10. 内部控制的未来发展</w:t>
            </w:r>
          </w:p>
          <w:p w14:paraId="57B4359D">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83" w:type="dxa"/>
            <w:tcBorders>
              <w:tl2br w:val="nil"/>
              <w:tr2bl w:val="nil"/>
            </w:tcBorders>
            <w:vAlign w:val="center"/>
          </w:tcPr>
          <w:p w14:paraId="7518C53E">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bookmarkStart w:id="58" w:name="OLE_LINK13"/>
            <w:r>
              <w:rPr>
                <w:rFonts w:hint="default" w:ascii="仿宋_GB2312" w:hAnsi="仿宋_GB2312" w:cs="仿宋_GB2312"/>
                <w:sz w:val="24"/>
                <w:szCs w:val="24"/>
              </w:rPr>
              <w:t>新兴技术与内部控制：深入研究大数据、人工智能、区块链、云计算等新兴技术对内部控制的影响。法规政策动态：密切关注国内外与内部控制相关的法规政策变化。定期浏览政府监管部门网站、专业财经媒体，收集最新的法规政策资讯，如会计准则修订、企业合规要求更新等对内部控制的新规定。</w:t>
            </w:r>
            <w:bookmarkEnd w:id="58"/>
          </w:p>
          <w:p w14:paraId="68B58AE1">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936" w:type="dxa"/>
            <w:tcBorders>
              <w:tl2br w:val="nil"/>
              <w:tr2bl w:val="nil"/>
            </w:tcBorders>
            <w:vAlign w:val="center"/>
          </w:tcPr>
          <w:p w14:paraId="6E0E8889">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学习内容：</w:t>
            </w:r>
          </w:p>
          <w:p w14:paraId="0153B09F">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内部控制的新趋势、技术创新对内部控制的影响、内部控制的国际化与本土化。</w:t>
            </w:r>
          </w:p>
          <w:p w14:paraId="51AE1A37">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要求：</w:t>
            </w:r>
          </w:p>
          <w:p w14:paraId="7F9C06D6">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bookmarkStart w:id="59" w:name="OLE_LINK20"/>
            <w:r>
              <w:rPr>
                <w:rFonts w:hint="eastAsia" w:ascii="仿宋_GB2312"/>
                <w:sz w:val="24"/>
                <w:szCs w:val="24"/>
                <w:lang w:val="en-US" w:eastAsia="zh-CN"/>
              </w:rPr>
              <w:t>全面了解新兴技术在内部控制各环节的应用原理与潜在影响，能够准确阐述大数据、人工智能等技术如何提升内部控制的效率与效果，以及可能带来的新风险与挑战。​</w:t>
            </w:r>
          </w:p>
          <w:p w14:paraId="7C9F6DEE">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熟悉国内外最新的内部控制相关法规政策，能够清晰解读法规政策变化对企业内部控制制度、流程和执行的具体要求，准确把握法规政策导向。</w:t>
            </w:r>
          </w:p>
          <w:bookmarkEnd w:id="59"/>
          <w:p w14:paraId="0DADAADF">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02B9F55C">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5C9AE8A2">
            <w:pPr>
              <w:keepNext w:val="0"/>
              <w:keepLines w:val="0"/>
              <w:suppressLineNumbers w:val="0"/>
              <w:spacing w:before="0" w:beforeAutospacing="0" w:after="0" w:afterAutospacing="0" w:line="240" w:lineRule="auto"/>
              <w:ind w:left="0" w:right="0" w:firstLine="0" w:firstLineChars="0"/>
              <w:rPr>
                <w:rFonts w:hint="default" w:ascii="仿宋_GB2312"/>
                <w:sz w:val="24"/>
                <w:szCs w:val="24"/>
              </w:rPr>
            </w:pPr>
          </w:p>
        </w:tc>
        <w:tc>
          <w:tcPr>
            <w:tcW w:w="1842" w:type="dxa"/>
            <w:tcBorders>
              <w:tl2br w:val="nil"/>
              <w:tr2bl w:val="nil"/>
            </w:tcBorders>
            <w:vAlign w:val="center"/>
          </w:tcPr>
          <w:p w14:paraId="0DE637E3">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（一）</w:t>
            </w:r>
            <w:r>
              <w:rPr>
                <w:rFonts w:hint="default" w:ascii="仿宋_GB2312" w:hAnsi="仿宋_GB2312" w:cs="仿宋_GB2312"/>
                <w:sz w:val="24"/>
                <w:szCs w:val="24"/>
                <w:lang w:val="en-US" w:eastAsia="zh-CN"/>
              </w:rPr>
              <w:t>教学目标</w:t>
            </w:r>
            <w:r>
              <w:rPr>
                <w:rFonts w:hint="eastAsia" w:ascii="仿宋_GB2312" w:hAnsi="仿宋_GB2312" w:cs="仿宋_GB2312"/>
                <w:sz w:val="24"/>
                <w:szCs w:val="24"/>
                <w:lang w:val="en-US" w:eastAsia="zh-CN"/>
              </w:rPr>
              <w:t>1.</w:t>
            </w:r>
            <w:r>
              <w:rPr>
                <w:rFonts w:hint="default" w:ascii="仿宋_GB2312" w:hAnsi="仿宋_GB2312" w:cs="仿宋_GB2312"/>
                <w:sz w:val="24"/>
                <w:szCs w:val="24"/>
                <w:lang w:val="en-US" w:eastAsia="zh-CN"/>
              </w:rPr>
              <w:t>知识目标​</w:t>
            </w:r>
          </w:p>
          <w:p w14:paraId="28EBFB0C">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学生能够精准阐述新兴技术（大数据、人工智能、区块链、云计算等）对内部控制各要素（风险评估、控制活动、信息与沟通、内部监督）的具体影响机制，深入理解这些技术如何重塑内部控制的模式与流程。全面掌握国内外与内部控制相关的最新法规政策动态，熟悉法规政策调整对企业内部控制体系建设、运行以及合规性要求的新变化，能够准确解读政策要点并应用于实际分析。​​</w:t>
            </w:r>
          </w:p>
          <w:p w14:paraId="1EB33F50">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2.</w:t>
            </w:r>
            <w:r>
              <w:rPr>
                <w:rFonts w:hint="default" w:ascii="仿宋_GB2312" w:hAnsi="仿宋_GB2312" w:cs="仿宋_GB2312"/>
                <w:sz w:val="24"/>
                <w:szCs w:val="24"/>
                <w:lang w:val="en-US" w:eastAsia="zh-CN"/>
              </w:rPr>
              <w:t>能力目标​</w:t>
            </w:r>
          </w:p>
          <w:p w14:paraId="32B631FC">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具备运用所学前沿理论知识分析企业内部控制未来发展实际案例的能力，能够准确识别案例中企业在应对新兴技术挑战、法规政策变化时内部控制体系的调整方向与创新点，深入剖析存在的问题及原因，并提出切实可行的改进建议。​</w:t>
            </w:r>
          </w:p>
          <w:p w14:paraId="79735EDA">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3.</w:t>
            </w:r>
            <w:r>
              <w:rPr>
                <w:rFonts w:hint="default" w:ascii="仿宋_GB2312" w:hAnsi="仿宋_GB2312" w:cs="仿宋_GB2312"/>
                <w:sz w:val="24"/>
                <w:szCs w:val="24"/>
                <w:lang w:val="en-US" w:eastAsia="zh-CN"/>
              </w:rPr>
              <w:t>素质目标​</w:t>
            </w:r>
          </w:p>
          <w:p w14:paraId="1EA42846">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培养学生勇于探索、敢于创新的精神，使其在面对内部控制未来发展的不确定性时，积极主动地学习新知识、新技术，不断探索适合企业发展的内部控制创新模式与方法。​</w:t>
            </w:r>
          </w:p>
          <w:p w14:paraId="1BC07B47">
            <w:pPr>
              <w:keepNext w:val="0"/>
              <w:keepLines w:val="0"/>
              <w:suppressLineNumbers w:val="0"/>
              <w:spacing w:before="0" w:beforeAutospacing="0" w:after="0" w:afterAutospacing="0" w:line="240" w:lineRule="auto"/>
              <w:ind w:left="0" w:right="0" w:firstLine="0" w:firstLineChars="0"/>
              <w:jc w:val="center"/>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教学方法：</w:t>
            </w:r>
          </w:p>
          <w:p w14:paraId="2DEE4653">
            <w:pPr>
              <w:keepNext w:val="0"/>
              <w:keepLines w:val="0"/>
              <w:suppressLineNumbers w:val="0"/>
              <w:spacing w:before="0" w:beforeAutospacing="0" w:after="0" w:afterAutospacing="0" w:line="240" w:lineRule="auto"/>
              <w:ind w:left="0" w:right="0" w:firstLine="0" w:firstLineChars="0"/>
              <w:jc w:val="center"/>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1.讲授法：系统讲解内部控制未来发展的前沿理论知识，包括新兴技术对内部控制的影响、法规政策动态、行业最佳实践与创新理念等，为学生搭建扎实的知识框架。详细阐释重点难点内容，确保学生掌握核心知识。​</w:t>
            </w:r>
          </w:p>
          <w:p w14:paraId="47251956">
            <w:pPr>
              <w:keepNext w:val="0"/>
              <w:keepLines w:val="0"/>
              <w:suppressLineNumbers w:val="0"/>
              <w:spacing w:before="0" w:beforeAutospacing="0" w:after="0" w:afterAutospacing="0" w:line="240" w:lineRule="auto"/>
              <w:ind w:left="0" w:right="0" w:firstLine="0" w:firstLineChars="0"/>
              <w:jc w:val="center"/>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2.案例教学法：引入丰富多样的企业内部控制未来发展案例，涵盖不同行业、规模和发展阶段的企业。通过对案例的深入剖析，引导学生观察、分析企业在面对未来挑战时内部控制的创新与变革，加深学生对知识的理解和应用能力。</w:t>
            </w:r>
          </w:p>
          <w:p w14:paraId="39827DB6">
            <w:pPr>
              <w:keepNext w:val="0"/>
              <w:keepLines w:val="0"/>
              <w:suppressLineNumbers w:val="0"/>
              <w:spacing w:before="0" w:beforeAutospacing="0" w:after="0" w:afterAutospacing="0" w:line="240" w:lineRule="auto"/>
              <w:ind w:left="0" w:right="0" w:firstLine="0" w:firstLineChars="0"/>
              <w:jc w:val="center"/>
              <w:rPr>
                <w:rFonts w:hint="eastAsia" w:ascii="仿宋_GB2312" w:hAnsi="仿宋_GB2312" w:cs="仿宋_GB2312"/>
                <w:sz w:val="24"/>
                <w:szCs w:val="24"/>
                <w:lang w:val="en-US" w:eastAsia="zh-CN"/>
              </w:rPr>
            </w:pPr>
          </w:p>
        </w:tc>
        <w:tc>
          <w:tcPr>
            <w:tcW w:w="1843" w:type="dxa"/>
            <w:tcBorders>
              <w:tl2br w:val="nil"/>
              <w:tr2bl w:val="nil"/>
            </w:tcBorders>
            <w:vAlign w:val="center"/>
          </w:tcPr>
          <w:p w14:paraId="7D99BCB1">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在小组讨论内部控制未来发展相关议题时，注重培养学生的团队合作精神。鼓励学生积极参与讨论，倾听他人意见，充分发挥各自优势，共同完成讨论任务。对在小组讨论中表现出良好团队协作精神的小组进行表扬，引导学生树立团队利益高于个人利益的观念。</w:t>
            </w:r>
          </w:p>
        </w:tc>
        <w:tc>
          <w:tcPr>
            <w:tcW w:w="567" w:type="dxa"/>
            <w:tcBorders>
              <w:tl2br w:val="nil"/>
              <w:tr2bl w:val="nil"/>
            </w:tcBorders>
            <w:vAlign w:val="center"/>
          </w:tcPr>
          <w:p w14:paraId="658C1605">
            <w:pPr>
              <w:keepNext w:val="0"/>
              <w:keepLines w:val="0"/>
              <w:suppressLineNumbers w:val="0"/>
              <w:spacing w:before="0" w:beforeAutospacing="0" w:after="0" w:afterAutospacing="0"/>
              <w:ind w:left="0" w:right="0"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6</w:t>
            </w:r>
          </w:p>
        </w:tc>
      </w:tr>
    </w:tbl>
    <w:p w14:paraId="38FDA454">
      <w:pPr>
        <w:ind w:firstLine="480"/>
        <w:jc w:val="left"/>
        <w:rPr>
          <w:rFonts w:ascii="仿宋_GB2312" w:hAnsi="仿宋_GB2312" w:cs="仿宋_GB2312"/>
          <w:b/>
          <w:bCs/>
          <w:sz w:val="24"/>
          <w:szCs w:val="21"/>
        </w:rPr>
      </w:pPr>
    </w:p>
    <w:p w14:paraId="55ED182A">
      <w:pPr>
        <w:pStyle w:val="2"/>
        <w:ind w:firstLine="653"/>
      </w:pPr>
      <w:bookmarkStart w:id="60" w:name="_Toc20287"/>
      <w:bookmarkStart w:id="61" w:name="_Toc9433"/>
      <w:bookmarkStart w:id="62" w:name="_Toc502337267"/>
      <w:r>
        <w:rPr>
          <w:rFonts w:hint="eastAsia"/>
        </w:rPr>
        <w:t>七、学习评价</w:t>
      </w:r>
      <w:bookmarkEnd w:id="60"/>
      <w:bookmarkEnd w:id="61"/>
      <w:bookmarkEnd w:id="62"/>
    </w:p>
    <w:p w14:paraId="6C7F2F94">
      <w:pPr>
        <w:spacing w:line="360" w:lineRule="auto"/>
        <w:ind w:firstLine="560"/>
      </w:pPr>
      <w:r>
        <w:rPr>
          <w:rFonts w:hint="eastAsia"/>
          <w:b/>
          <w:bCs/>
        </w:rPr>
        <w:t>本课程达标要求：</w:t>
      </w:r>
    </w:p>
    <w:p w14:paraId="1970C640">
      <w:pPr>
        <w:ind w:firstLine="480"/>
        <w:jc w:val="center"/>
        <w:rPr>
          <w:rFonts w:ascii="仿宋_GB2312" w:hAnsi="仿宋_GB2312" w:cs="仿宋_GB2312"/>
          <w:b/>
          <w:bCs/>
          <w:sz w:val="24"/>
          <w:szCs w:val="21"/>
        </w:rPr>
      </w:pPr>
      <w:r>
        <w:rPr>
          <w:rFonts w:hint="eastAsia" w:ascii="仿宋_GB2312" w:hAnsi="仿宋_GB2312" w:cs="仿宋_GB2312"/>
          <w:b/>
          <w:bCs/>
          <w:sz w:val="24"/>
          <w:szCs w:val="21"/>
        </w:rPr>
        <w:t>表4</w:t>
      </w:r>
      <w:r>
        <w:rPr>
          <w:rFonts w:ascii="仿宋_GB2312" w:hAnsi="仿宋_GB2312" w:cs="仿宋_GB2312"/>
          <w:b/>
          <w:bCs/>
          <w:sz w:val="24"/>
          <w:szCs w:val="21"/>
        </w:rPr>
        <w:t xml:space="preserve">. </w:t>
      </w:r>
      <w:r>
        <w:rPr>
          <w:rFonts w:hint="eastAsia" w:ascii="仿宋_GB2312" w:hAnsi="仿宋_GB2312" w:cs="仿宋_GB2312"/>
          <w:b/>
          <w:bCs/>
          <w:sz w:val="24"/>
          <w:szCs w:val="21"/>
        </w:rPr>
        <w:t>学习评价表</w:t>
      </w:r>
    </w:p>
    <w:tbl>
      <w:tblPr>
        <w:tblStyle w:val="14"/>
        <w:tblW w:w="965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2"/>
        <w:gridCol w:w="1197"/>
        <w:gridCol w:w="1356"/>
        <w:gridCol w:w="3024"/>
        <w:gridCol w:w="2505"/>
        <w:gridCol w:w="1134"/>
      </w:tblGrid>
      <w:tr w14:paraId="7158C7C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442" w:type="dxa"/>
            <w:tcBorders>
              <w:tl2br w:val="nil"/>
              <w:tr2bl w:val="nil"/>
            </w:tcBorders>
            <w:vAlign w:val="center"/>
          </w:tcPr>
          <w:p w14:paraId="0053261F">
            <w:pPr>
              <w:keepNext w:val="0"/>
              <w:keepLines w:val="0"/>
              <w:suppressLineNumbers w:val="0"/>
              <w:spacing w:before="0" w:beforeAutospacing="0" w:after="0" w:afterAutospacing="0" w:line="240" w:lineRule="auto"/>
              <w:ind w:left="0" w:right="0" w:firstLine="0" w:firstLineChars="0"/>
              <w:jc w:val="center"/>
              <w:rPr>
                <w:rFonts w:hint="default" w:ascii="仿宋_GB2312"/>
                <w:b/>
                <w:bCs/>
                <w:sz w:val="24"/>
                <w:szCs w:val="24"/>
              </w:rPr>
            </w:pPr>
            <w:r>
              <w:rPr>
                <w:rFonts w:hint="eastAsia" w:ascii="仿宋_GB2312"/>
                <w:b/>
                <w:bCs/>
                <w:sz w:val="24"/>
                <w:szCs w:val="24"/>
              </w:rPr>
              <w:t>评价环节</w:t>
            </w:r>
          </w:p>
        </w:tc>
        <w:tc>
          <w:tcPr>
            <w:tcW w:w="1197" w:type="dxa"/>
            <w:tcBorders>
              <w:tl2br w:val="nil"/>
              <w:tr2bl w:val="nil"/>
            </w:tcBorders>
            <w:vAlign w:val="center"/>
          </w:tcPr>
          <w:p w14:paraId="3B8267A6">
            <w:pPr>
              <w:keepNext w:val="0"/>
              <w:keepLines w:val="0"/>
              <w:suppressLineNumbers w:val="0"/>
              <w:spacing w:before="0" w:beforeAutospacing="0" w:after="0" w:afterAutospacing="0" w:line="240" w:lineRule="auto"/>
              <w:ind w:left="0" w:right="0" w:firstLine="0" w:firstLineChars="0"/>
              <w:jc w:val="center"/>
              <w:rPr>
                <w:rFonts w:hint="default" w:ascii="仿宋_GB2312"/>
                <w:b/>
                <w:bCs/>
                <w:sz w:val="24"/>
                <w:szCs w:val="24"/>
              </w:rPr>
            </w:pPr>
            <w:r>
              <w:rPr>
                <w:rFonts w:hint="eastAsia" w:ascii="仿宋_GB2312"/>
                <w:b/>
                <w:bCs/>
                <w:sz w:val="24"/>
                <w:szCs w:val="24"/>
              </w:rPr>
              <w:t>课程内容</w:t>
            </w:r>
          </w:p>
          <w:p w14:paraId="4BE5B2BD">
            <w:pPr>
              <w:keepNext w:val="0"/>
              <w:keepLines w:val="0"/>
              <w:suppressLineNumbers w:val="0"/>
              <w:spacing w:before="0" w:beforeAutospacing="0" w:after="0" w:afterAutospacing="0" w:line="240" w:lineRule="auto"/>
              <w:ind w:left="0" w:right="0" w:firstLine="0" w:firstLineChars="0"/>
              <w:jc w:val="center"/>
              <w:rPr>
                <w:rFonts w:hint="default" w:ascii="仿宋_GB2312"/>
                <w:b/>
                <w:bCs/>
                <w:sz w:val="24"/>
                <w:szCs w:val="24"/>
              </w:rPr>
            </w:pPr>
            <w:r>
              <w:rPr>
                <w:rFonts w:hint="eastAsia" w:ascii="仿宋_GB2312"/>
                <w:b/>
                <w:bCs/>
                <w:sz w:val="24"/>
                <w:szCs w:val="24"/>
              </w:rPr>
              <w:t>（模块/项目）</w:t>
            </w:r>
          </w:p>
        </w:tc>
        <w:tc>
          <w:tcPr>
            <w:tcW w:w="1356" w:type="dxa"/>
            <w:tcBorders>
              <w:tl2br w:val="nil"/>
              <w:tr2bl w:val="nil"/>
            </w:tcBorders>
            <w:vAlign w:val="center"/>
          </w:tcPr>
          <w:p w14:paraId="18D4A9B7">
            <w:pPr>
              <w:keepNext w:val="0"/>
              <w:keepLines w:val="0"/>
              <w:suppressLineNumbers w:val="0"/>
              <w:spacing w:before="0" w:beforeAutospacing="0" w:after="0" w:afterAutospacing="0" w:line="240" w:lineRule="auto"/>
              <w:ind w:left="0" w:right="0" w:firstLine="0" w:firstLineChars="0"/>
              <w:jc w:val="center"/>
              <w:rPr>
                <w:rFonts w:hint="default" w:ascii="仿宋_GB2312"/>
                <w:b/>
                <w:bCs/>
                <w:sz w:val="24"/>
                <w:szCs w:val="24"/>
              </w:rPr>
            </w:pPr>
            <w:r>
              <w:rPr>
                <w:rFonts w:hint="eastAsia" w:ascii="仿宋_GB2312"/>
                <w:b/>
                <w:bCs/>
                <w:sz w:val="24"/>
                <w:szCs w:val="24"/>
              </w:rPr>
              <w:t>学习任务</w:t>
            </w:r>
          </w:p>
        </w:tc>
        <w:tc>
          <w:tcPr>
            <w:tcW w:w="3024" w:type="dxa"/>
            <w:tcBorders>
              <w:tl2br w:val="nil"/>
              <w:tr2bl w:val="nil"/>
            </w:tcBorders>
            <w:vAlign w:val="center"/>
          </w:tcPr>
          <w:p w14:paraId="748D717B">
            <w:pPr>
              <w:keepNext w:val="0"/>
              <w:keepLines w:val="0"/>
              <w:suppressLineNumbers w:val="0"/>
              <w:spacing w:before="0" w:beforeAutospacing="0" w:after="0" w:afterAutospacing="0" w:line="240" w:lineRule="auto"/>
              <w:ind w:left="0" w:right="0" w:firstLine="0" w:firstLineChars="0"/>
              <w:jc w:val="center"/>
              <w:rPr>
                <w:rFonts w:hint="default" w:ascii="仿宋_GB2312"/>
                <w:b/>
                <w:bCs/>
                <w:sz w:val="24"/>
                <w:szCs w:val="24"/>
              </w:rPr>
            </w:pPr>
            <w:r>
              <w:rPr>
                <w:rFonts w:hint="eastAsia" w:ascii="仿宋_GB2312"/>
                <w:b/>
                <w:bCs/>
                <w:sz w:val="24"/>
                <w:szCs w:val="24"/>
              </w:rPr>
              <w:t>评价标准</w:t>
            </w:r>
          </w:p>
          <w:p w14:paraId="7527E6F2">
            <w:pPr>
              <w:keepNext w:val="0"/>
              <w:keepLines w:val="0"/>
              <w:suppressLineNumbers w:val="0"/>
              <w:spacing w:before="0" w:beforeAutospacing="0" w:after="0" w:afterAutospacing="0" w:line="240" w:lineRule="auto"/>
              <w:ind w:left="0" w:right="0" w:firstLine="0" w:firstLineChars="0"/>
              <w:jc w:val="center"/>
              <w:rPr>
                <w:rFonts w:hint="default" w:ascii="仿宋_GB2312"/>
                <w:b/>
                <w:bCs/>
                <w:sz w:val="24"/>
                <w:szCs w:val="24"/>
              </w:rPr>
            </w:pPr>
            <w:r>
              <w:rPr>
                <w:rFonts w:hint="eastAsia" w:ascii="仿宋_GB2312"/>
                <w:b/>
                <w:bCs/>
                <w:sz w:val="24"/>
                <w:szCs w:val="24"/>
              </w:rPr>
              <w:t>（学习产出合格要求）</w:t>
            </w:r>
          </w:p>
        </w:tc>
        <w:tc>
          <w:tcPr>
            <w:tcW w:w="2505" w:type="dxa"/>
            <w:tcBorders>
              <w:tl2br w:val="nil"/>
              <w:tr2bl w:val="nil"/>
            </w:tcBorders>
            <w:vAlign w:val="center"/>
          </w:tcPr>
          <w:p w14:paraId="24976B17">
            <w:pPr>
              <w:keepNext w:val="0"/>
              <w:keepLines w:val="0"/>
              <w:suppressLineNumbers w:val="0"/>
              <w:spacing w:before="0" w:beforeAutospacing="0" w:after="0" w:afterAutospacing="0" w:line="240" w:lineRule="auto"/>
              <w:ind w:left="0" w:right="0" w:firstLine="0" w:firstLineChars="0"/>
              <w:jc w:val="center"/>
              <w:rPr>
                <w:rFonts w:hint="default" w:ascii="仿宋_GB2312"/>
                <w:b/>
                <w:bCs/>
                <w:sz w:val="24"/>
                <w:szCs w:val="24"/>
              </w:rPr>
            </w:pPr>
            <w:r>
              <w:rPr>
                <w:rFonts w:hint="eastAsia" w:ascii="仿宋_GB2312"/>
                <w:b/>
                <w:bCs/>
                <w:sz w:val="24"/>
                <w:szCs w:val="24"/>
              </w:rPr>
              <w:t>评价方法</w:t>
            </w:r>
          </w:p>
          <w:p w14:paraId="5E48579F">
            <w:pPr>
              <w:keepNext w:val="0"/>
              <w:keepLines w:val="0"/>
              <w:suppressLineNumbers w:val="0"/>
              <w:spacing w:before="0" w:beforeAutospacing="0" w:after="0" w:afterAutospacing="0" w:line="240" w:lineRule="auto"/>
              <w:ind w:left="0" w:right="0" w:firstLine="0" w:firstLineChars="0"/>
              <w:jc w:val="center"/>
              <w:rPr>
                <w:rFonts w:hint="default" w:ascii="仿宋_GB2312"/>
                <w:b/>
                <w:bCs/>
                <w:sz w:val="24"/>
                <w:szCs w:val="24"/>
              </w:rPr>
            </w:pPr>
            <w:r>
              <w:rPr>
                <w:rFonts w:hint="eastAsia" w:ascii="仿宋_GB2312"/>
                <w:b/>
                <w:bCs/>
                <w:sz w:val="24"/>
                <w:szCs w:val="24"/>
              </w:rPr>
              <w:t>（方法、工具、场所）</w:t>
            </w:r>
          </w:p>
        </w:tc>
        <w:tc>
          <w:tcPr>
            <w:tcW w:w="1134" w:type="dxa"/>
            <w:tcBorders>
              <w:tl2br w:val="nil"/>
              <w:tr2bl w:val="nil"/>
            </w:tcBorders>
            <w:vAlign w:val="center"/>
          </w:tcPr>
          <w:p w14:paraId="6A7B8422">
            <w:pPr>
              <w:keepNext w:val="0"/>
              <w:keepLines w:val="0"/>
              <w:suppressLineNumbers w:val="0"/>
              <w:spacing w:before="0" w:beforeAutospacing="0" w:after="0" w:afterAutospacing="0" w:line="240" w:lineRule="auto"/>
              <w:ind w:left="0" w:right="0" w:firstLine="0" w:firstLineChars="0"/>
              <w:jc w:val="center"/>
              <w:rPr>
                <w:rFonts w:hint="default" w:ascii="仿宋_GB2312"/>
                <w:b/>
                <w:bCs/>
                <w:sz w:val="24"/>
                <w:szCs w:val="24"/>
              </w:rPr>
            </w:pPr>
            <w:r>
              <w:rPr>
                <w:rFonts w:hint="eastAsia" w:ascii="仿宋_GB2312"/>
                <w:b/>
                <w:bCs/>
                <w:sz w:val="24"/>
                <w:szCs w:val="24"/>
              </w:rPr>
              <w:t>占比</w:t>
            </w:r>
          </w:p>
          <w:p w14:paraId="2748B5C7">
            <w:pPr>
              <w:keepNext w:val="0"/>
              <w:keepLines w:val="0"/>
              <w:suppressLineNumbers w:val="0"/>
              <w:spacing w:before="0" w:beforeAutospacing="0" w:after="0" w:afterAutospacing="0" w:line="240" w:lineRule="auto"/>
              <w:ind w:left="0" w:right="0" w:firstLine="0" w:firstLineChars="0"/>
              <w:jc w:val="center"/>
              <w:rPr>
                <w:rFonts w:hint="default" w:ascii="仿宋_GB2312"/>
                <w:b/>
                <w:bCs/>
                <w:sz w:val="24"/>
                <w:szCs w:val="24"/>
              </w:rPr>
            </w:pPr>
            <w:r>
              <w:rPr>
                <w:rFonts w:hint="eastAsia" w:ascii="仿宋_GB2312"/>
                <w:b/>
                <w:bCs/>
                <w:sz w:val="24"/>
                <w:szCs w:val="24"/>
              </w:rPr>
              <w:t>（%）</w:t>
            </w:r>
          </w:p>
        </w:tc>
      </w:tr>
      <w:tr w14:paraId="75CFCD6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47" w:hRule="atLeast"/>
        </w:trPr>
        <w:tc>
          <w:tcPr>
            <w:tcW w:w="442" w:type="dxa"/>
            <w:vMerge w:val="restart"/>
            <w:tcBorders>
              <w:tl2br w:val="nil"/>
              <w:tr2bl w:val="nil"/>
            </w:tcBorders>
            <w:vAlign w:val="center"/>
          </w:tcPr>
          <w:p w14:paraId="0C65F666">
            <w:pPr>
              <w:keepNext w:val="0"/>
              <w:keepLines w:val="0"/>
              <w:suppressLineNumbers w:val="0"/>
              <w:spacing w:before="0" w:beforeAutospacing="0" w:after="0" w:afterAutospacing="0" w:line="240" w:lineRule="auto"/>
              <w:ind w:left="0" w:right="0" w:firstLine="0" w:firstLineChars="0"/>
              <w:jc w:val="center"/>
              <w:rPr>
                <w:rFonts w:hint="default" w:ascii="仿宋_GB2312"/>
                <w:b/>
                <w:bCs/>
                <w:sz w:val="24"/>
                <w:szCs w:val="24"/>
              </w:rPr>
            </w:pPr>
          </w:p>
          <w:p w14:paraId="66B6AB3C">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b/>
                <w:bCs/>
                <w:sz w:val="24"/>
                <w:szCs w:val="24"/>
              </w:rPr>
              <w:t>过程性评价</w:t>
            </w:r>
          </w:p>
        </w:tc>
        <w:tc>
          <w:tcPr>
            <w:tcW w:w="1197" w:type="dxa"/>
            <w:vMerge w:val="restart"/>
            <w:tcBorders>
              <w:tl2br w:val="nil"/>
              <w:tr2bl w:val="nil"/>
            </w:tcBorders>
          </w:tcPr>
          <w:p w14:paraId="70EE4F60">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方正仿宋_GB2312" w:hAnsi="方正仿宋_GB2312" w:eastAsia="方正仿宋_GB2312" w:cs="方正仿宋_GB2312"/>
                <w:b w:val="0"/>
                <w:bCs w:val="0"/>
                <w:color w:val="auto"/>
                <w:sz w:val="21"/>
                <w:szCs w:val="21"/>
                <w:lang w:val="en-US" w:eastAsia="zh-CN"/>
              </w:rPr>
              <w:t>内部控制概述</w:t>
            </w:r>
          </w:p>
        </w:tc>
        <w:tc>
          <w:tcPr>
            <w:tcW w:w="1356" w:type="dxa"/>
            <w:tcBorders>
              <w:tl2br w:val="nil"/>
              <w:tr2bl w:val="nil"/>
            </w:tcBorders>
            <w:vAlign w:val="center"/>
          </w:tcPr>
          <w:p w14:paraId="4DA020FD">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内部控制的定义与发展历程</w:t>
            </w:r>
            <w:r>
              <w:rPr>
                <w:rFonts w:hint="eastAsia" w:ascii="方正仿宋_GB2312" w:hAnsi="方正仿宋_GB2312" w:eastAsia="方正仿宋_GB2312" w:cs="方正仿宋_GB2312"/>
                <w:b w:val="0"/>
                <w:bCs w:val="0"/>
                <w:color w:val="auto"/>
                <w:sz w:val="21"/>
                <w:szCs w:val="21"/>
                <w:lang w:val="en-US" w:eastAsia="zh-CN"/>
              </w:rPr>
              <w:t>、</w:t>
            </w:r>
            <w:r>
              <w:rPr>
                <w:rFonts w:hint="default" w:ascii="方正仿宋_GB2312" w:hAnsi="方正仿宋_GB2312" w:eastAsia="方正仿宋_GB2312" w:cs="方正仿宋_GB2312"/>
                <w:b w:val="0"/>
                <w:bCs w:val="0"/>
                <w:color w:val="auto"/>
                <w:sz w:val="21"/>
                <w:szCs w:val="21"/>
                <w:lang w:val="en-US" w:eastAsia="zh-CN"/>
              </w:rPr>
              <w:t>内部控制的重要性和作用</w:t>
            </w:r>
            <w:r>
              <w:rPr>
                <w:rFonts w:hint="eastAsia" w:ascii="方正仿宋_GB2312" w:hAnsi="方正仿宋_GB2312" w:eastAsia="方正仿宋_GB2312" w:cs="方正仿宋_GB2312"/>
                <w:b w:val="0"/>
                <w:bCs w:val="0"/>
                <w:color w:val="auto"/>
                <w:sz w:val="21"/>
                <w:szCs w:val="21"/>
                <w:lang w:val="en-US" w:eastAsia="zh-CN"/>
              </w:rPr>
              <w:t>、</w:t>
            </w:r>
            <w:r>
              <w:rPr>
                <w:rFonts w:hint="default" w:ascii="方正仿宋_GB2312" w:hAnsi="方正仿宋_GB2312" w:eastAsia="方正仿宋_GB2312" w:cs="方正仿宋_GB2312"/>
                <w:b w:val="0"/>
                <w:bCs w:val="0"/>
                <w:color w:val="auto"/>
                <w:sz w:val="21"/>
                <w:szCs w:val="21"/>
                <w:lang w:val="en-US" w:eastAsia="zh-CN"/>
              </w:rPr>
              <w:t>内部控制与风险管理的关系</w:t>
            </w:r>
          </w:p>
          <w:p w14:paraId="12E88F60">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p>
          <w:p w14:paraId="0F1B730B">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3024" w:type="dxa"/>
            <w:vMerge w:val="restart"/>
            <w:tcBorders>
              <w:tl2br w:val="nil"/>
              <w:tr2bl w:val="nil"/>
            </w:tcBorders>
            <w:vAlign w:val="center"/>
          </w:tcPr>
          <w:p w14:paraId="10C07A66">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（一）知识掌握</w:t>
            </w:r>
          </w:p>
          <w:p w14:paraId="7F6916C7">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准确记忆内部控制的定义、目标、要素等核心概念，能够用自己的语言清晰阐述。​</w:t>
            </w:r>
          </w:p>
          <w:p w14:paraId="4666790E">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熟悉不同内部控制要素的具体内容和相互关系，理解内部控制框架体系的逻辑结构。​</w:t>
            </w:r>
          </w:p>
          <w:p w14:paraId="59633480">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（二）能力培养</w:t>
            </w:r>
          </w:p>
          <w:p w14:paraId="585E0D1D">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能够运用内部控制理论知识，对给定的企业案例进行分析，识别其中存在的内部控制问题，并提出合理的改进建议。培养批判性思维能力，对不同的内部控制观点和方法进行比较分析，形成自己独立的见解，并能够在团队讨论和交流中清晰表达。</w:t>
            </w:r>
          </w:p>
          <w:p w14:paraId="70FD8B0B">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2505" w:type="dxa"/>
            <w:vMerge w:val="restart"/>
            <w:tcBorders>
              <w:tl2br w:val="nil"/>
              <w:tr2bl w:val="nil"/>
            </w:tcBorders>
          </w:tcPr>
          <w:p w14:paraId="5ABF3CE8">
            <w:pPr>
              <w:keepNext w:val="0"/>
              <w:keepLines w:val="0"/>
              <w:widowControl w:val="0"/>
              <w:suppressLineNumbers w:val="0"/>
              <w:spacing w:before="0" w:beforeAutospacing="0" w:after="0" w:afterAutospacing="0" w:line="560" w:lineRule="exact"/>
              <w:ind w:left="0" w:right="0" w:firstLine="0" w:firstLineChars="0"/>
              <w:jc w:val="left"/>
              <w:rPr>
                <w:rFonts w:hint="default" w:ascii="仿宋_GB2312" w:hAnsi="Times New Roman" w:eastAsia="仿宋_GB2312" w:cs="仿宋_GB2312"/>
                <w:kern w:val="2"/>
                <w:sz w:val="24"/>
                <w:szCs w:val="24"/>
                <w:lang w:val="en-US" w:eastAsia="zh-CN" w:bidi="ar"/>
              </w:rPr>
            </w:pPr>
            <w:r>
              <w:rPr>
                <w:rFonts w:hint="default" w:ascii="仿宋_GB2312" w:hAnsi="Times New Roman" w:eastAsia="仿宋_GB2312" w:cs="仿宋_GB2312"/>
                <w:kern w:val="2"/>
                <w:sz w:val="24"/>
                <w:szCs w:val="24"/>
                <w:lang w:val="en-US" w:eastAsia="zh-CN" w:bidi="ar"/>
              </w:rPr>
              <w:t>1. ppt展示与讲解</w:t>
            </w:r>
          </w:p>
          <w:p w14:paraId="5C55D313">
            <w:pPr>
              <w:keepNext w:val="0"/>
              <w:keepLines w:val="0"/>
              <w:widowControl w:val="0"/>
              <w:suppressLineNumbers w:val="0"/>
              <w:spacing w:before="0" w:beforeAutospacing="0" w:after="0" w:afterAutospacing="0" w:line="560" w:lineRule="exact"/>
              <w:ind w:left="0" w:right="0" w:firstLine="0" w:firstLineChars="0"/>
              <w:jc w:val="left"/>
              <w:rPr>
                <w:rFonts w:hint="default" w:ascii="仿宋_GB2312" w:eastAsia="仿宋_GB2312" w:cs="仿宋_GB2312"/>
                <w:kern w:val="2"/>
                <w:sz w:val="24"/>
                <w:szCs w:val="24"/>
              </w:rPr>
            </w:pPr>
            <w:r>
              <w:rPr>
                <w:rFonts w:hint="default" w:ascii="仿宋_GB2312" w:hAnsi="Times New Roman" w:eastAsia="仿宋_GB2312" w:cs="仿宋_GB2312"/>
                <w:kern w:val="2"/>
                <w:sz w:val="24"/>
                <w:szCs w:val="24"/>
                <w:lang w:val="en-US" w:eastAsia="zh-CN" w:bidi="ar"/>
              </w:rPr>
              <w:t>2. 设计过程记录</w:t>
            </w:r>
          </w:p>
          <w:p w14:paraId="1DBBE32C">
            <w:pPr>
              <w:keepNext w:val="0"/>
              <w:keepLines w:val="0"/>
              <w:widowControl w:val="0"/>
              <w:suppressLineNumbers w:val="0"/>
              <w:spacing w:before="0" w:beforeAutospacing="0" w:after="0" w:afterAutospacing="0" w:line="560" w:lineRule="exact"/>
              <w:ind w:left="0" w:right="0" w:firstLine="0" w:firstLineChars="0"/>
              <w:jc w:val="left"/>
              <w:rPr>
                <w:rFonts w:hint="default" w:ascii="仿宋_GB2312" w:eastAsia="仿宋_GB2312" w:cs="仿宋_GB2312"/>
                <w:kern w:val="2"/>
                <w:sz w:val="24"/>
                <w:szCs w:val="24"/>
                <w:lang w:val="en-US"/>
              </w:rPr>
            </w:pPr>
            <w:r>
              <w:rPr>
                <w:rFonts w:hint="default" w:ascii="仿宋_GB2312" w:hAnsi="Times New Roman" w:eastAsia="仿宋_GB2312" w:cs="仿宋_GB2312"/>
                <w:kern w:val="2"/>
                <w:sz w:val="24"/>
                <w:szCs w:val="24"/>
                <w:lang w:val="en-US" w:eastAsia="zh-CN" w:bidi="ar"/>
              </w:rPr>
              <w:t>3. 课堂讨论与提问学生积极参与课堂讨论和提问，评估其对</w:t>
            </w:r>
            <w:r>
              <w:rPr>
                <w:rFonts w:hint="eastAsia" w:ascii="仿宋_GB2312" w:hAnsi="Times New Roman" w:cs="仿宋_GB2312"/>
                <w:kern w:val="2"/>
                <w:sz w:val="24"/>
                <w:szCs w:val="24"/>
                <w:lang w:val="en-US" w:eastAsia="zh-CN" w:bidi="ar"/>
              </w:rPr>
              <w:t>企业内部控制</w:t>
            </w:r>
            <w:r>
              <w:rPr>
                <w:rFonts w:hint="default" w:ascii="仿宋_GB2312" w:hAnsi="Times New Roman" w:eastAsia="仿宋_GB2312" w:cs="仿宋_GB2312"/>
                <w:kern w:val="2"/>
                <w:sz w:val="24"/>
                <w:szCs w:val="24"/>
                <w:lang w:val="en-US" w:eastAsia="zh-CN" w:bidi="ar"/>
              </w:rPr>
              <w:t>相关概念、技能等方面的掌握情况</w:t>
            </w:r>
            <w:r>
              <w:rPr>
                <w:rFonts w:hint="eastAsia" w:ascii="仿宋_GB2312" w:cs="仿宋_GB2312"/>
                <w:kern w:val="2"/>
                <w:sz w:val="24"/>
                <w:szCs w:val="24"/>
                <w:lang w:val="en-US" w:eastAsia="zh-CN" w:bidi="ar"/>
              </w:rPr>
              <w:t>，如财务数据异常识别准确率≥90%”“风险预警模型响应时效≤5分钟”等。</w:t>
            </w:r>
          </w:p>
          <w:p w14:paraId="70F5EBAA">
            <w:pPr>
              <w:keepNext w:val="0"/>
              <w:keepLines w:val="0"/>
              <w:widowControl w:val="0"/>
              <w:suppressLineNumbers w:val="0"/>
              <w:spacing w:before="0" w:beforeAutospacing="0" w:after="0" w:afterAutospacing="0" w:line="560" w:lineRule="exact"/>
              <w:ind w:left="0" w:right="0" w:firstLine="0" w:firstLineChars="0"/>
              <w:jc w:val="left"/>
              <w:rPr>
                <w:rFonts w:hint="default" w:ascii="仿宋_GB2312" w:hAnsi="Times New Roman" w:eastAsia="仿宋_GB2312" w:cs="仿宋_GB2312"/>
                <w:kern w:val="2"/>
                <w:sz w:val="24"/>
                <w:szCs w:val="24"/>
                <w:lang w:val="en-US" w:eastAsia="zh-CN" w:bidi="ar"/>
              </w:rPr>
            </w:pPr>
            <w:r>
              <w:rPr>
                <w:rFonts w:hint="default" w:ascii="仿宋_GB2312" w:hAnsi="Times New Roman" w:eastAsia="仿宋_GB2312" w:cs="仿宋_GB2312"/>
                <w:kern w:val="2"/>
                <w:sz w:val="24"/>
                <w:szCs w:val="24"/>
                <w:lang w:val="en-US" w:eastAsia="zh-CN" w:bidi="ar"/>
              </w:rPr>
              <w:t>4. 小组项目评价。</w:t>
            </w:r>
          </w:p>
          <w:p w14:paraId="4D4F51C1">
            <w:pPr>
              <w:keepNext w:val="0"/>
              <w:keepLines w:val="0"/>
              <w:widowControl w:val="0"/>
              <w:suppressLineNumbers w:val="0"/>
              <w:spacing w:before="0" w:beforeAutospacing="0" w:after="0" w:afterAutospacing="0" w:line="560" w:lineRule="exact"/>
              <w:ind w:left="0" w:right="0" w:firstLine="0" w:firstLineChars="0"/>
              <w:jc w:val="left"/>
              <w:rPr>
                <w:rFonts w:hint="eastAsia" w:ascii="仿宋_GB2312" w:cs="仿宋_GB2312"/>
                <w:kern w:val="2"/>
                <w:sz w:val="24"/>
                <w:szCs w:val="24"/>
                <w:lang w:val="en-US" w:eastAsia="zh-CN" w:bidi="ar"/>
              </w:rPr>
            </w:pPr>
            <w:r>
              <w:rPr>
                <w:rFonts w:hint="eastAsia" w:ascii="仿宋_GB2312" w:cs="仿宋_GB2312"/>
                <w:kern w:val="2"/>
                <w:sz w:val="24"/>
                <w:szCs w:val="24"/>
                <w:lang w:val="en-US" w:eastAsia="zh-CN" w:bidi="ar"/>
              </w:rPr>
              <w:t>5.引入“财务大数据分析平台操作日志分析”作为过程性评价依据。</w:t>
            </w:r>
          </w:p>
          <w:p w14:paraId="2A543B9F">
            <w:pPr>
              <w:keepNext w:val="0"/>
              <w:keepLines w:val="0"/>
              <w:widowControl w:val="0"/>
              <w:suppressLineNumbers w:val="0"/>
              <w:spacing w:before="0" w:beforeAutospacing="0" w:after="0" w:afterAutospacing="0" w:line="560" w:lineRule="exact"/>
              <w:ind w:left="0" w:right="0" w:firstLine="0" w:firstLineChars="0"/>
              <w:jc w:val="left"/>
              <w:rPr>
                <w:rFonts w:hint="default" w:ascii="仿宋_GB2312" w:hAnsi="Times New Roman" w:eastAsia="仿宋_GB2312" w:cs="仿宋_GB2312"/>
                <w:kern w:val="2"/>
                <w:sz w:val="24"/>
                <w:szCs w:val="24"/>
                <w:lang w:val="en-US" w:eastAsia="zh-CN" w:bidi="ar"/>
              </w:rPr>
            </w:pPr>
          </w:p>
          <w:p w14:paraId="74F4E91E">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34" w:type="dxa"/>
            <w:vMerge w:val="restart"/>
            <w:tcBorders>
              <w:tl2br w:val="nil"/>
              <w:tr2bl w:val="nil"/>
            </w:tcBorders>
            <w:vAlign w:val="center"/>
          </w:tcPr>
          <w:p w14:paraId="3710FEB3">
            <w:pPr>
              <w:keepNext w:val="0"/>
              <w:keepLines w:val="0"/>
              <w:numPr>
                <w:ilvl w:val="0"/>
                <w:numId w:val="0"/>
              </w:numPr>
              <w:suppressLineNumbers w:val="0"/>
              <w:spacing w:before="0" w:beforeAutospacing="0" w:after="0" w:afterAutospacing="0"/>
              <w:ind w:left="0" w:right="0"/>
              <w:rPr>
                <w:rFonts w:hint="default"/>
              </w:rPr>
            </w:pPr>
            <w:r>
              <w:rPr>
                <w:rFonts w:hint="default"/>
              </w:rPr>
              <w:t>多元化考核方式：平时成绩（</w:t>
            </w:r>
            <w:r>
              <w:rPr>
                <w:rFonts w:hint="eastAsia"/>
                <w:lang w:val="en-US" w:eastAsia="zh-CN"/>
              </w:rPr>
              <w:t>40%</w:t>
            </w:r>
            <w:r>
              <w:rPr>
                <w:rFonts w:hint="default"/>
              </w:rPr>
              <w:t>）和期末考核成绩（</w:t>
            </w:r>
            <w:r>
              <w:rPr>
                <w:rFonts w:hint="eastAsia"/>
                <w:lang w:val="en-US" w:eastAsia="zh-CN"/>
              </w:rPr>
              <w:t>60</w:t>
            </w:r>
            <w:r>
              <w:rPr>
                <w:rFonts w:hint="default"/>
              </w:rPr>
              <w:t>%）。平时成绩涵盖</w:t>
            </w:r>
            <w:r>
              <w:rPr>
                <w:rFonts w:hint="eastAsia"/>
                <w:lang w:val="en-US" w:eastAsia="zh-CN"/>
              </w:rPr>
              <w:t>考勤（10%），通过学生的到课率进行评价；</w:t>
            </w:r>
            <w:r>
              <w:rPr>
                <w:rFonts w:hint="default"/>
              </w:rPr>
              <w:t>课堂表现（10%），作业完成情况（10%），小组项目（10%）</w:t>
            </w:r>
          </w:p>
          <w:p w14:paraId="24684133">
            <w:pPr>
              <w:keepNext w:val="0"/>
              <w:keepLines w:val="0"/>
              <w:numPr>
                <w:ilvl w:val="0"/>
                <w:numId w:val="0"/>
              </w:numPr>
              <w:suppressLineNumbers w:val="0"/>
              <w:spacing w:before="0" w:beforeAutospacing="0" w:after="0" w:afterAutospacing="0"/>
              <w:ind w:left="0" w:right="0"/>
              <w:rPr>
                <w:rFonts w:hint="default" w:eastAsia="仿宋_GB2312"/>
                <w:lang w:val="en-US" w:eastAsia="zh-CN"/>
              </w:rPr>
            </w:pPr>
            <w:r>
              <w:rPr>
                <w:rFonts w:hint="default"/>
              </w:rPr>
              <w:t>期末考核则采用综合性案例分析和论述题相结合</w:t>
            </w:r>
            <w:r>
              <w:rPr>
                <w:rFonts w:hint="eastAsia"/>
                <w:lang w:val="en-US" w:eastAsia="zh-CN"/>
              </w:rPr>
              <w:t>的</w:t>
            </w:r>
            <w:r>
              <w:rPr>
                <w:rFonts w:hint="default"/>
              </w:rPr>
              <w:t>方式</w:t>
            </w:r>
            <w:r>
              <w:rPr>
                <w:rFonts w:hint="eastAsia"/>
                <w:lang w:eastAsia="zh-CN"/>
              </w:rPr>
              <w:t>，</w:t>
            </w:r>
            <w:bookmarkStart w:id="81" w:name="_GoBack"/>
            <w:bookmarkEnd w:id="81"/>
            <w:r>
              <w:rPr>
                <w:rFonts w:hint="eastAsia"/>
                <w:lang w:eastAsia="zh-CN"/>
              </w:rPr>
              <w:t>智能财税职业技能等级证书”考点</w:t>
            </w:r>
            <w:r>
              <w:rPr>
                <w:rFonts w:hint="eastAsia"/>
                <w:lang w:val="en-US" w:eastAsia="zh-CN"/>
              </w:rPr>
              <w:t>需在笔试内容中占比30%以上。</w:t>
            </w:r>
          </w:p>
          <w:p w14:paraId="1A243C11">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r>
      <w:tr w14:paraId="1728294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26" w:hRule="atLeast"/>
        </w:trPr>
        <w:tc>
          <w:tcPr>
            <w:tcW w:w="442" w:type="dxa"/>
            <w:vMerge w:val="continue"/>
            <w:tcBorders>
              <w:tl2br w:val="nil"/>
              <w:tr2bl w:val="nil"/>
            </w:tcBorders>
          </w:tcPr>
          <w:p w14:paraId="2E9E6C80">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97" w:type="dxa"/>
            <w:vMerge w:val="restart"/>
            <w:tcBorders>
              <w:tl2br w:val="nil"/>
              <w:tr2bl w:val="nil"/>
            </w:tcBorders>
            <w:vAlign w:val="center"/>
          </w:tcPr>
          <w:p w14:paraId="5FF74514">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内部控制框架</w:t>
            </w:r>
          </w:p>
          <w:p w14:paraId="7754D62D">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356" w:type="dxa"/>
            <w:tcBorders>
              <w:tl2br w:val="nil"/>
              <w:tr2bl w:val="nil"/>
            </w:tcBorders>
            <w:vAlign w:val="center"/>
          </w:tcPr>
          <w:p w14:paraId="722A4851">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全面且精准地掌握 COSO 内部控制框架、ERM 框架等国际主流框架以及我国企业内部控制规范体系的核心要点、显著特点与适用范围。​</w:t>
            </w:r>
          </w:p>
          <w:p w14:paraId="7640F1F9">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深入理解不同内部控制框架的演变历程，清晰把握各框架内部要素间的逻辑关联。</w:t>
            </w:r>
          </w:p>
        </w:tc>
        <w:tc>
          <w:tcPr>
            <w:tcW w:w="3024" w:type="dxa"/>
            <w:vMerge w:val="restart"/>
            <w:tcBorders>
              <w:tl2br w:val="nil"/>
              <w:tr2bl w:val="nil"/>
            </w:tcBorders>
          </w:tcPr>
          <w:p w14:paraId="344AB368">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仿宋_GB2312" w:hAnsi="仿宋_GB2312" w:cs="仿宋_GB2312"/>
                <w:sz w:val="24"/>
                <w:szCs w:val="24"/>
              </w:rPr>
              <w:t>熟练运用对比分析方法，对不同内部控制框架进行全面、深入的比较，准确识别其差异与优劣，能够撰写详细的对比分析报告。</w:t>
            </w:r>
          </w:p>
          <w:p w14:paraId="500F6D5F">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2505" w:type="dxa"/>
            <w:vMerge w:val="continue"/>
            <w:tcBorders>
              <w:tl2br w:val="nil"/>
              <w:tr2bl w:val="nil"/>
            </w:tcBorders>
          </w:tcPr>
          <w:p w14:paraId="16B977F4">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34" w:type="dxa"/>
            <w:vMerge w:val="continue"/>
            <w:tcBorders>
              <w:tl2br w:val="nil"/>
              <w:tr2bl w:val="nil"/>
            </w:tcBorders>
            <w:vAlign w:val="center"/>
          </w:tcPr>
          <w:p w14:paraId="17C5DE0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r>
      <w:tr w14:paraId="6D45316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040" w:hRule="atLeast"/>
        </w:trPr>
        <w:tc>
          <w:tcPr>
            <w:tcW w:w="442" w:type="dxa"/>
            <w:vMerge w:val="continue"/>
            <w:tcBorders>
              <w:tl2br w:val="nil"/>
              <w:tr2bl w:val="nil"/>
            </w:tcBorders>
          </w:tcPr>
          <w:p w14:paraId="6260357E">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97" w:type="dxa"/>
            <w:vMerge w:val="restart"/>
            <w:tcBorders>
              <w:tl2br w:val="nil"/>
              <w:tr2bl w:val="nil"/>
            </w:tcBorders>
            <w:vAlign w:val="center"/>
          </w:tcPr>
          <w:p w14:paraId="74D9A749">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内部控制环境</w:t>
            </w:r>
          </w:p>
          <w:p w14:paraId="7F4182C3">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356" w:type="dxa"/>
            <w:tcBorders>
              <w:tl2br w:val="nil"/>
              <w:tr2bl w:val="nil"/>
            </w:tcBorders>
            <w:vAlign w:val="center"/>
          </w:tcPr>
          <w:p w14:paraId="711D6CFE">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default" w:ascii="仿宋_GB2312" w:hAnsi="仿宋_GB2312" w:cs="仿宋_GB2312"/>
                <w:sz w:val="24"/>
                <w:szCs w:val="24"/>
              </w:rPr>
              <w:t>深入理解内部控制环境的定义、内涵及在整个内部控制体系中的核心地位，明确其构成要素的相互关系。</w:t>
            </w:r>
          </w:p>
        </w:tc>
        <w:tc>
          <w:tcPr>
            <w:tcW w:w="3024" w:type="dxa"/>
            <w:vMerge w:val="restart"/>
            <w:tcBorders>
              <w:tl2br w:val="nil"/>
              <w:tr2bl w:val="nil"/>
            </w:tcBorders>
          </w:tcPr>
          <w:p w14:paraId="326531B8">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准确理解内部控制环境的概念、要素及相互关系，能够熟练阐述每个要素的核心内容和重要性，对 COSO 框架等相关理论有清晰的认识。​</w:t>
            </w:r>
          </w:p>
          <w:p w14:paraId="3611918C">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2505" w:type="dxa"/>
            <w:vMerge w:val="continue"/>
            <w:tcBorders>
              <w:tl2br w:val="nil"/>
              <w:tr2bl w:val="nil"/>
            </w:tcBorders>
          </w:tcPr>
          <w:p w14:paraId="6F56A9CD">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34" w:type="dxa"/>
            <w:vMerge w:val="continue"/>
            <w:tcBorders>
              <w:tl2br w:val="nil"/>
              <w:tr2bl w:val="nil"/>
            </w:tcBorders>
            <w:vAlign w:val="center"/>
          </w:tcPr>
          <w:p w14:paraId="36DFE922">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r>
      <w:tr w14:paraId="4AB497C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78" w:hRule="atLeast"/>
        </w:trPr>
        <w:tc>
          <w:tcPr>
            <w:tcW w:w="442" w:type="dxa"/>
            <w:vMerge w:val="continue"/>
            <w:tcBorders>
              <w:tl2br w:val="nil"/>
              <w:tr2bl w:val="nil"/>
            </w:tcBorders>
          </w:tcPr>
          <w:p w14:paraId="3EDBC208">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97" w:type="dxa"/>
            <w:tcBorders>
              <w:top w:val="single" w:color="auto" w:sz="4" w:space="0"/>
              <w:tl2br w:val="nil"/>
              <w:tr2bl w:val="nil"/>
            </w:tcBorders>
            <w:vAlign w:val="center"/>
          </w:tcPr>
          <w:p w14:paraId="72DA9C5E">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方正仿宋_GB2312" w:hAnsi="方正仿宋_GB2312" w:eastAsia="方正仿宋_GB2312" w:cs="方正仿宋_GB2312"/>
                <w:b w:val="0"/>
                <w:bCs w:val="0"/>
                <w:color w:val="auto"/>
                <w:sz w:val="21"/>
                <w:szCs w:val="21"/>
                <w:lang w:val="en-US" w:eastAsia="zh-CN"/>
              </w:rPr>
              <w:t xml:space="preserve"> 风险评估</w:t>
            </w:r>
          </w:p>
        </w:tc>
        <w:tc>
          <w:tcPr>
            <w:tcW w:w="1356" w:type="dxa"/>
            <w:tcBorders>
              <w:tl2br w:val="nil"/>
              <w:tr2bl w:val="nil"/>
            </w:tcBorders>
            <w:vAlign w:val="center"/>
          </w:tcPr>
          <w:p w14:paraId="3D2A73E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1.</w:t>
            </w:r>
            <w:r>
              <w:rPr>
                <w:rFonts w:hint="default" w:ascii="仿宋_GB2312" w:hAnsi="仿宋_GB2312" w:cs="仿宋_GB2312"/>
                <w:sz w:val="24"/>
                <w:szCs w:val="24"/>
              </w:rPr>
              <w:t>深入研读风险评估的概念、风险的定义与特征，梳理风险评估在企业管理、项目管理、金融投资等不同领域的重要性，形成详细的读书笔记，记录关键要点及自己的理解感悟。​</w:t>
            </w:r>
          </w:p>
          <w:p w14:paraId="648A0CA2">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r>
              <w:rPr>
                <w:rFonts w:hint="eastAsia" w:ascii="仿宋_GB2312" w:hAnsi="仿宋_GB2312" w:cs="仿宋_GB2312"/>
                <w:sz w:val="24"/>
                <w:szCs w:val="24"/>
                <w:lang w:val="en-US" w:eastAsia="zh-CN"/>
              </w:rPr>
              <w:t>2.</w:t>
            </w:r>
            <w:r>
              <w:rPr>
                <w:rFonts w:hint="default" w:ascii="仿宋_GB2312" w:hAnsi="仿宋_GB2312" w:cs="仿宋_GB2312"/>
                <w:sz w:val="24"/>
                <w:szCs w:val="24"/>
              </w:rPr>
              <w:t>全面学习风险评估流程，包括风险识别、风险分析和风险评价三个阶段。绘制风险评估流程思维导图，清晰呈现各阶段的操作步骤、关键方法以及它们之间的逻辑关系。</w:t>
            </w:r>
          </w:p>
          <w:p w14:paraId="36E341CA">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3.学习掌握财务大数据分析竞赛真题</w:t>
            </w:r>
          </w:p>
        </w:tc>
        <w:tc>
          <w:tcPr>
            <w:tcW w:w="3024" w:type="dxa"/>
            <w:tcBorders>
              <w:tl2br w:val="nil"/>
              <w:tr2bl w:val="nil"/>
            </w:tcBorders>
            <w:vAlign w:val="center"/>
          </w:tcPr>
          <w:p w14:paraId="608D258D">
            <w:pPr>
              <w:keepNext w:val="0"/>
              <w:keepLines w:val="0"/>
              <w:suppressLineNumbers w:val="0"/>
              <w:spacing w:before="0" w:beforeAutospacing="0" w:after="0" w:afterAutospacing="0" w:line="240" w:lineRule="auto"/>
              <w:ind w:left="0" w:right="0" w:firstLine="0" w:firstLineChars="0"/>
              <w:rPr>
                <w:rFonts w:hint="default" w:ascii="仿宋_GB2312"/>
                <w:sz w:val="24"/>
                <w:szCs w:val="24"/>
                <w:lang w:val="en-US" w:eastAsia="zh-CN"/>
              </w:rPr>
            </w:pPr>
            <w:r>
              <w:rPr>
                <w:rFonts w:hint="eastAsia" w:ascii="仿宋_GB2312"/>
                <w:sz w:val="24"/>
                <w:szCs w:val="24"/>
                <w:lang w:val="en-US" w:eastAsia="zh-CN"/>
              </w:rPr>
              <w:t>1.</w:t>
            </w:r>
            <w:r>
              <w:rPr>
                <w:rFonts w:hint="default" w:ascii="仿宋_GB2312"/>
                <w:sz w:val="24"/>
                <w:szCs w:val="24"/>
                <w:lang w:val="en-US" w:eastAsia="zh-CN"/>
              </w:rPr>
              <w:t>知识掌握要求能够准确无误地阐述风险评估的概念、流程及各类风险评估方法的核心要点，对风险的特征、风险评估在不同领域的重要性有深刻理解，可随时进行清晰讲解。熟练掌握风险识别、分析、评价的具体操作步骤，能够独立运用多种风险评估方法对简单项目或业务进行风险评估，评估结果合理准确。​</w:t>
            </w:r>
          </w:p>
          <w:p w14:paraId="14F7E790">
            <w:pPr>
              <w:keepNext w:val="0"/>
              <w:keepLines w:val="0"/>
              <w:suppressLineNumbers w:val="0"/>
              <w:spacing w:before="0" w:beforeAutospacing="0" w:after="0" w:afterAutospacing="0" w:line="240" w:lineRule="auto"/>
              <w:ind w:left="0" w:right="0" w:firstLine="0" w:firstLineChars="0"/>
              <w:rPr>
                <w:rFonts w:hint="default" w:ascii="仿宋_GB2312"/>
                <w:sz w:val="24"/>
                <w:szCs w:val="24"/>
                <w:lang w:val="en-US" w:eastAsia="zh-CN"/>
              </w:rPr>
            </w:pPr>
            <w:r>
              <w:rPr>
                <w:rFonts w:hint="eastAsia" w:ascii="仿宋_GB2312"/>
                <w:sz w:val="24"/>
                <w:szCs w:val="24"/>
                <w:lang w:val="en-US" w:eastAsia="zh-CN"/>
              </w:rPr>
              <w:t>2.</w:t>
            </w:r>
            <w:r>
              <w:rPr>
                <w:rFonts w:hint="default" w:ascii="仿宋_GB2312"/>
                <w:sz w:val="24"/>
                <w:szCs w:val="24"/>
                <w:lang w:val="en-US" w:eastAsia="zh-CN"/>
              </w:rPr>
              <w:t>案例分析要求在案例分析过程中，能够精准运用所学理论知识，深入挖掘案例中风险因素，合理选择评估方法进行分析评价，并制定切实可行的风险应对策略。案例分析报告逻辑严谨、条理清晰，对风险评估过程的阐述详细全面，对比分析结论具有一定的深度和参考价值。​</w:t>
            </w:r>
          </w:p>
          <w:p w14:paraId="41B965F7">
            <w:pPr>
              <w:keepNext w:val="0"/>
              <w:keepLines w:val="0"/>
              <w:suppressLineNumbers w:val="0"/>
              <w:spacing w:before="0" w:beforeAutospacing="0" w:after="0" w:afterAutospacing="0" w:line="240" w:lineRule="auto"/>
              <w:ind w:left="0" w:right="0" w:firstLine="0" w:firstLineChars="0"/>
              <w:rPr>
                <w:rFonts w:hint="default" w:ascii="仿宋_GB2312"/>
                <w:sz w:val="24"/>
                <w:szCs w:val="24"/>
                <w:lang w:val="en-US" w:eastAsia="zh-CN"/>
              </w:rPr>
            </w:pPr>
            <w:r>
              <w:rPr>
                <w:rFonts w:hint="eastAsia" w:ascii="仿宋_GB2312"/>
                <w:sz w:val="24"/>
                <w:szCs w:val="24"/>
                <w:lang w:val="en-US" w:eastAsia="zh-CN"/>
              </w:rPr>
              <w:t>3.</w:t>
            </w:r>
            <w:r>
              <w:rPr>
                <w:rFonts w:hint="default" w:ascii="仿宋_GB2312"/>
                <w:sz w:val="24"/>
                <w:szCs w:val="24"/>
                <w:lang w:val="en-US" w:eastAsia="zh-CN"/>
              </w:rPr>
              <w:t>小组协作要求在小组讨论中，积极参与讨论，发言内容有针对性、有深度，能够有效贡献自己的观点和想法，同时尊重他人意见，善于倾听和吸收不同观点，促进小组讨论顺利进行。小组讨论记录完整、准确，能够反映讨论的全貌。​</w:t>
            </w:r>
          </w:p>
          <w:p w14:paraId="63088D9B">
            <w:pPr>
              <w:keepNext w:val="0"/>
              <w:keepLines w:val="0"/>
              <w:suppressLineNumbers w:val="0"/>
              <w:spacing w:before="0" w:beforeAutospacing="0" w:after="0" w:afterAutospacing="0" w:line="240" w:lineRule="auto"/>
              <w:ind w:left="0" w:right="0" w:firstLine="0" w:firstLineChars="0"/>
              <w:rPr>
                <w:rFonts w:hint="default" w:ascii="仿宋_GB2312"/>
                <w:sz w:val="24"/>
                <w:szCs w:val="24"/>
                <w:lang w:val="en-US" w:eastAsia="zh-CN"/>
              </w:rPr>
            </w:pPr>
            <w:r>
              <w:rPr>
                <w:rFonts w:hint="default" w:ascii="仿宋_GB2312"/>
                <w:sz w:val="24"/>
                <w:szCs w:val="24"/>
                <w:lang w:val="en-US" w:eastAsia="zh-CN"/>
              </w:rPr>
              <w:t>在模拟项目风险评估中，明确自身职责，与小组成员密切配合，高效完成团队分配的任务。模拟项目风险评估报告内容完整，风险评估流程规范，应对策略合理，充分体现团队协作成果，团队成员分工明确且协作顺畅。</w:t>
            </w:r>
          </w:p>
          <w:p w14:paraId="2950029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2505" w:type="dxa"/>
            <w:vMerge w:val="continue"/>
            <w:tcBorders>
              <w:tl2br w:val="nil"/>
              <w:tr2bl w:val="nil"/>
            </w:tcBorders>
            <w:vAlign w:val="center"/>
          </w:tcPr>
          <w:p w14:paraId="1C4505D9">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134" w:type="dxa"/>
            <w:vMerge w:val="continue"/>
            <w:tcBorders>
              <w:tl2br w:val="nil"/>
              <w:tr2bl w:val="nil"/>
            </w:tcBorders>
            <w:vAlign w:val="center"/>
          </w:tcPr>
          <w:p w14:paraId="3F5DDBF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r>
      <w:tr w14:paraId="5E883B5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88" w:hRule="atLeast"/>
        </w:trPr>
        <w:tc>
          <w:tcPr>
            <w:tcW w:w="442" w:type="dxa"/>
            <w:tcBorders>
              <w:tl2br w:val="nil"/>
              <w:tr2bl w:val="nil"/>
            </w:tcBorders>
          </w:tcPr>
          <w:p w14:paraId="70D6DAF0">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bookmarkStart w:id="63" w:name="_Toc18233"/>
            <w:bookmarkStart w:id="64" w:name="_Toc502337268"/>
          </w:p>
        </w:tc>
        <w:tc>
          <w:tcPr>
            <w:tcW w:w="1197" w:type="dxa"/>
            <w:tcBorders>
              <w:tl2br w:val="nil"/>
              <w:tr2bl w:val="nil"/>
            </w:tcBorders>
            <w:vAlign w:val="center"/>
          </w:tcPr>
          <w:p w14:paraId="779450FE">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r>
              <w:rPr>
                <w:rFonts w:hint="default" w:ascii="方正仿宋_GB2312" w:hAnsi="方正仿宋_GB2312" w:eastAsia="方正仿宋_GB2312" w:cs="方正仿宋_GB2312"/>
                <w:b w:val="0"/>
                <w:bCs w:val="0"/>
                <w:color w:val="auto"/>
                <w:sz w:val="21"/>
                <w:szCs w:val="21"/>
                <w:lang w:val="en-US" w:eastAsia="zh-CN"/>
              </w:rPr>
              <w:t>控制活动</w:t>
            </w:r>
          </w:p>
        </w:tc>
        <w:tc>
          <w:tcPr>
            <w:tcW w:w="1356" w:type="dxa"/>
            <w:tcBorders>
              <w:tl2br w:val="nil"/>
              <w:tr2bl w:val="nil"/>
            </w:tcBorders>
            <w:vAlign w:val="center"/>
          </w:tcPr>
          <w:p w14:paraId="230BC6E8">
            <w:pPr>
              <w:keepNext w:val="0"/>
              <w:keepLines w:val="0"/>
              <w:suppressLineNumbers w:val="0"/>
              <w:spacing w:before="0" w:beforeAutospacing="0" w:after="0" w:afterAutospacing="0" w:line="240" w:lineRule="auto"/>
              <w:ind w:left="0" w:right="0" w:firstLine="0" w:firstLineChars="0"/>
              <w:rPr>
                <w:rFonts w:hint="eastAsia" w:ascii="仿宋_GB2312" w:hAnsi="仿宋_GB2312" w:cs="仿宋_GB2312"/>
                <w:sz w:val="24"/>
                <w:szCs w:val="24"/>
              </w:rPr>
            </w:pPr>
            <w:r>
              <w:rPr>
                <w:rFonts w:hint="default" w:ascii="仿宋_GB2312" w:hAnsi="仿宋_GB2312" w:cs="仿宋_GB2312"/>
                <w:sz w:val="24"/>
                <w:szCs w:val="24"/>
              </w:rPr>
              <w:t>深入探究控制活动的定义、目标与意义，梳理其在内部控制体系中的关键作用与运作逻辑。研读专业教材、学术文献，整理控制活动与内部控制其他要素的内在联系，搭建系统的知识框架。</w:t>
            </w:r>
          </w:p>
        </w:tc>
        <w:tc>
          <w:tcPr>
            <w:tcW w:w="3024" w:type="dxa"/>
            <w:tcBorders>
              <w:tl2br w:val="nil"/>
              <w:tr2bl w:val="nil"/>
            </w:tcBorders>
            <w:vAlign w:val="center"/>
          </w:tcPr>
          <w:p w14:paraId="5C8EF46E">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能够精准阐释控制活动的定义、目标，清晰阐述其在内部控制体系中的核心地位与作用机制，准确说明控制活动与其他内部控制要素的互动关系。​</w:t>
            </w:r>
          </w:p>
          <w:p w14:paraId="51626C7C">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熟练掌握各类控制活动的概念、原理、操作要点与适用范围，可结合实际企业案例，详细讲解不同控制活动的应用场景与实施效果。​</w:t>
            </w:r>
          </w:p>
          <w:p w14:paraId="279C24EB">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2505" w:type="dxa"/>
            <w:vMerge w:val="continue"/>
            <w:tcBorders>
              <w:tl2br w:val="nil"/>
              <w:tr2bl w:val="nil"/>
            </w:tcBorders>
            <w:vAlign w:val="center"/>
          </w:tcPr>
          <w:p w14:paraId="77839FE4">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134" w:type="dxa"/>
            <w:vMerge w:val="continue"/>
            <w:tcBorders>
              <w:tl2br w:val="nil"/>
              <w:tr2bl w:val="nil"/>
            </w:tcBorders>
          </w:tcPr>
          <w:p w14:paraId="3299BD8B">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r>
      <w:tr w14:paraId="7299873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88" w:hRule="atLeast"/>
        </w:trPr>
        <w:tc>
          <w:tcPr>
            <w:tcW w:w="442" w:type="dxa"/>
            <w:tcBorders>
              <w:tl2br w:val="nil"/>
              <w:tr2bl w:val="nil"/>
            </w:tcBorders>
          </w:tcPr>
          <w:p w14:paraId="6DAF293E">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97" w:type="dxa"/>
            <w:tcBorders>
              <w:tl2br w:val="nil"/>
              <w:tr2bl w:val="nil"/>
            </w:tcBorders>
            <w:vAlign w:val="center"/>
          </w:tcPr>
          <w:p w14:paraId="74EEF963">
            <w:pPr>
              <w:keepNext w:val="0"/>
              <w:keepLines w:val="0"/>
              <w:pageBreakBefore w:val="0"/>
              <w:suppressLineNumbers w:val="0"/>
              <w:wordWrap/>
              <w:topLinePunct w:val="0"/>
              <w:autoSpaceDE w:val="0"/>
              <w:autoSpaceDN w:val="0"/>
              <w:bidi w:val="0"/>
              <w:spacing w:before="0" w:beforeAutospacing="0" w:after="0" w:afterAutospacing="0" w:line="240" w:lineRule="auto"/>
              <w:ind w:left="0" w:leftChars="0" w:right="0" w:firstLine="0" w:firstLineChars="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 xml:space="preserve"> 信息与沟通</w:t>
            </w:r>
          </w:p>
          <w:p w14:paraId="6225EA2D">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356" w:type="dxa"/>
            <w:tcBorders>
              <w:tl2br w:val="nil"/>
              <w:tr2bl w:val="nil"/>
            </w:tcBorders>
            <w:vAlign w:val="center"/>
          </w:tcPr>
          <w:p w14:paraId="03BB0448">
            <w:pPr>
              <w:keepNext w:val="0"/>
              <w:keepLines w:val="0"/>
              <w:suppressLineNumbers w:val="0"/>
              <w:spacing w:before="0" w:beforeAutospacing="0" w:after="0" w:afterAutospacing="0" w:line="240" w:lineRule="auto"/>
              <w:ind w:left="0" w:right="0" w:firstLine="0" w:firstLineChars="0"/>
              <w:rPr>
                <w:rFonts w:hint="eastAsia" w:ascii="仿宋_GB2312" w:hAnsi="仿宋_GB2312" w:cs="仿宋_GB2312"/>
                <w:sz w:val="24"/>
                <w:szCs w:val="24"/>
              </w:rPr>
            </w:pPr>
            <w:r>
              <w:rPr>
                <w:rFonts w:hint="default" w:ascii="仿宋_GB2312" w:hAnsi="仿宋_GB2312" w:cs="仿宋_GB2312"/>
                <w:sz w:val="24"/>
                <w:szCs w:val="24"/>
              </w:rPr>
              <w:t>深度解读信息与沟通的定义、目标及在内部控制体系中的重要意义。通过查阅经典内部控制教材、权威学术论文，梳理信息与沟通与内部控制其他要素（如控制环境、风险评估、控制活动）的内在关联，构建全面且清晰的知识体系架构。</w:t>
            </w:r>
          </w:p>
        </w:tc>
        <w:tc>
          <w:tcPr>
            <w:tcW w:w="3024" w:type="dxa"/>
            <w:tcBorders>
              <w:tl2br w:val="nil"/>
              <w:tr2bl w:val="nil"/>
            </w:tcBorders>
            <w:vAlign w:val="center"/>
          </w:tcPr>
          <w:p w14:paraId="065A277A">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能够准确无误地阐述信息与沟通的定义、目标，清晰且深入地讲解其在内部控制体系中的核心作用机制，包括如何支持风险评估、控制活动的有效执行，以及与控制环境的相互影响关系。</w:t>
            </w:r>
          </w:p>
          <w:p w14:paraId="2F8BA144">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2505" w:type="dxa"/>
            <w:vMerge w:val="continue"/>
            <w:tcBorders>
              <w:tl2br w:val="nil"/>
              <w:tr2bl w:val="nil"/>
            </w:tcBorders>
            <w:vAlign w:val="center"/>
          </w:tcPr>
          <w:p w14:paraId="62864A42">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134" w:type="dxa"/>
            <w:vMerge w:val="continue"/>
            <w:tcBorders>
              <w:tl2br w:val="nil"/>
              <w:tr2bl w:val="nil"/>
            </w:tcBorders>
          </w:tcPr>
          <w:p w14:paraId="7176045C">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r>
      <w:tr w14:paraId="08CFF9D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88" w:hRule="atLeast"/>
        </w:trPr>
        <w:tc>
          <w:tcPr>
            <w:tcW w:w="442" w:type="dxa"/>
            <w:tcBorders>
              <w:tl2br w:val="nil"/>
              <w:tr2bl w:val="nil"/>
            </w:tcBorders>
          </w:tcPr>
          <w:p w14:paraId="0C69352E">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97" w:type="dxa"/>
            <w:tcBorders>
              <w:tl2br w:val="nil"/>
              <w:tr2bl w:val="nil"/>
            </w:tcBorders>
            <w:vAlign w:val="center"/>
          </w:tcPr>
          <w:p w14:paraId="17C597FF">
            <w:pPr>
              <w:keepNext w:val="0"/>
              <w:keepLines w:val="0"/>
              <w:pageBreakBefore w:val="0"/>
              <w:suppressLineNumbers w:val="0"/>
              <w:wordWrap/>
              <w:topLinePunct w:val="0"/>
              <w:autoSpaceDE w:val="0"/>
              <w:autoSpaceDN w:val="0"/>
              <w:bidi w:val="0"/>
              <w:spacing w:before="0" w:beforeAutospacing="0" w:after="0" w:afterAutospacing="0" w:line="240" w:lineRule="auto"/>
              <w:ind w:left="0" w:leftChars="0" w:right="0" w:firstLine="0" w:firstLineChars="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内部控制的监督</w:t>
            </w:r>
          </w:p>
          <w:p w14:paraId="4D4C5AC3">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356" w:type="dxa"/>
            <w:tcBorders>
              <w:tl2br w:val="nil"/>
              <w:tr2bl w:val="nil"/>
            </w:tcBorders>
            <w:vAlign w:val="center"/>
          </w:tcPr>
          <w:p w14:paraId="6CABBD5C">
            <w:pPr>
              <w:keepNext w:val="0"/>
              <w:keepLines w:val="0"/>
              <w:suppressLineNumbers w:val="0"/>
              <w:spacing w:before="0" w:beforeAutospacing="0" w:after="0" w:afterAutospacing="0" w:line="240" w:lineRule="auto"/>
              <w:ind w:left="0" w:right="0" w:firstLine="0" w:firstLineChars="0"/>
              <w:rPr>
                <w:rFonts w:hint="eastAsia" w:ascii="仿宋_GB2312" w:hAnsi="仿宋_GB2312" w:cs="仿宋_GB2312"/>
                <w:sz w:val="24"/>
                <w:szCs w:val="24"/>
              </w:rPr>
            </w:pPr>
            <w:r>
              <w:rPr>
                <w:rFonts w:hint="default" w:ascii="仿宋_GB2312" w:hAnsi="仿宋_GB2312" w:cs="仿宋_GB2312"/>
                <w:sz w:val="24"/>
                <w:szCs w:val="24"/>
              </w:rPr>
              <w:t>深入研读内部控制监督的定义、目标以及在整个内部控制体系中的关键地位，结合 COSO 内部控制框架等权威理论，梳理其与控制环境、风险评估、控制活动和信息与沟通等要素的内在逻辑联系，绘制详细的知识关联思维导图。</w:t>
            </w:r>
          </w:p>
        </w:tc>
        <w:tc>
          <w:tcPr>
            <w:tcW w:w="3024" w:type="dxa"/>
            <w:tcBorders>
              <w:tl2br w:val="nil"/>
              <w:tr2bl w:val="nil"/>
            </w:tcBorders>
            <w:vAlign w:val="center"/>
          </w:tcPr>
          <w:p w14:paraId="69F2BC9C">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1.能够准确无误地阐述内部控制监督的定义、目标及在内部控制体系中的核心地位，清晰解释其与其他内部控制要素的内在关联，可随时进行详细讲解。​</w:t>
            </w:r>
          </w:p>
          <w:p w14:paraId="339A6CA2">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2.熟练掌握内部控制监督的类型、流程、内部控制缺陷认定与报告要求，以及常见监督工具与方法的应用原理。能够结合实际案例，准确说明日常监督和专项监督的实施要点、监督证据的收集与分析方法、监督结果的报告与反馈机制等。</w:t>
            </w:r>
          </w:p>
          <w:p w14:paraId="7C731CE6">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2505" w:type="dxa"/>
            <w:vMerge w:val="continue"/>
            <w:tcBorders>
              <w:tl2br w:val="nil"/>
              <w:tr2bl w:val="nil"/>
            </w:tcBorders>
            <w:vAlign w:val="center"/>
          </w:tcPr>
          <w:p w14:paraId="429E3DCE">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134" w:type="dxa"/>
            <w:vMerge w:val="continue"/>
            <w:tcBorders>
              <w:tl2br w:val="nil"/>
              <w:tr2bl w:val="nil"/>
            </w:tcBorders>
          </w:tcPr>
          <w:p w14:paraId="48A68284">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r>
      <w:tr w14:paraId="41572C1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88" w:hRule="atLeast"/>
        </w:trPr>
        <w:tc>
          <w:tcPr>
            <w:tcW w:w="442" w:type="dxa"/>
            <w:tcBorders>
              <w:tl2br w:val="nil"/>
              <w:tr2bl w:val="nil"/>
            </w:tcBorders>
          </w:tcPr>
          <w:p w14:paraId="6B3FEB7C">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97" w:type="dxa"/>
            <w:tcBorders>
              <w:tl2br w:val="nil"/>
              <w:tr2bl w:val="nil"/>
            </w:tcBorders>
            <w:vAlign w:val="center"/>
          </w:tcPr>
          <w:p w14:paraId="25C810CB">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p>
          <w:p w14:paraId="1E3346BF">
            <w:pPr>
              <w:keepNext w:val="0"/>
              <w:keepLines w:val="0"/>
              <w:pageBreakBefore w:val="0"/>
              <w:suppressLineNumbers w:val="0"/>
              <w:wordWrap/>
              <w:topLinePunct w:val="0"/>
              <w:autoSpaceDE w:val="0"/>
              <w:autoSpaceDN w:val="0"/>
              <w:bidi w:val="0"/>
              <w:spacing w:before="0" w:beforeAutospacing="0" w:after="0" w:afterAutospacing="0" w:line="240" w:lineRule="auto"/>
              <w:ind w:left="0" w:leftChars="0" w:right="0" w:firstLine="0" w:firstLineChars="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内部控制案例分析</w:t>
            </w:r>
          </w:p>
          <w:p w14:paraId="48C39410">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356" w:type="dxa"/>
            <w:tcBorders>
              <w:tl2br w:val="nil"/>
              <w:tr2bl w:val="nil"/>
            </w:tcBorders>
            <w:vAlign w:val="center"/>
          </w:tcPr>
          <w:p w14:paraId="08AE223B">
            <w:pPr>
              <w:keepNext w:val="0"/>
              <w:keepLines w:val="0"/>
              <w:suppressLineNumbers w:val="0"/>
              <w:spacing w:before="0" w:beforeAutospacing="0" w:after="0" w:afterAutospacing="0" w:line="240" w:lineRule="auto"/>
              <w:ind w:left="0" w:right="0" w:firstLine="0" w:firstLineChars="0"/>
              <w:rPr>
                <w:rFonts w:hint="eastAsia" w:ascii="仿宋_GB2312" w:hAnsi="仿宋_GB2312" w:cs="仿宋_GB2312"/>
                <w:sz w:val="24"/>
                <w:szCs w:val="24"/>
              </w:rPr>
            </w:pPr>
            <w:r>
              <w:rPr>
                <w:rFonts w:hint="default" w:ascii="仿宋_GB2312" w:hAnsi="仿宋_GB2312" w:cs="仿宋_GB2312"/>
                <w:sz w:val="24"/>
                <w:szCs w:val="24"/>
              </w:rPr>
              <w:t>系统梳理内部控制的基础概念、构成要素及其内在逻辑关系，通过绘制思维导图、编写知识总结手册等方式，强化对内部控制理论体系的理解与记忆。研读 COSO 内部控制框架、我国企业内部控制基本规范等权威资料，深入领会内部控制在企业管理中的核心地位与作用机制</w:t>
            </w:r>
          </w:p>
        </w:tc>
        <w:tc>
          <w:tcPr>
            <w:tcW w:w="3024" w:type="dxa"/>
            <w:tcBorders>
              <w:tl2br w:val="nil"/>
              <w:tr2bl w:val="nil"/>
            </w:tcBorders>
            <w:vAlign w:val="center"/>
          </w:tcPr>
          <w:p w14:paraId="3B33C162">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1.能够准确无误地阐述内部控制的基本概念、构成要素及各要素间的内在逻辑关系，清晰解释内部控制在企业管理中的核心地位与作用，可随时进行详细讲解。2.熟练掌握内部控制案例分析的方法与流程，熟悉各类案例信息收集渠道与分析工具的应用。能够准确识别案例中内部控制的关键环节与问题，运用所学理论知识进行深入分析。</w:t>
            </w:r>
          </w:p>
          <w:p w14:paraId="1DB40349">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p>
          <w:p w14:paraId="47733BC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2505" w:type="dxa"/>
            <w:vMerge w:val="continue"/>
            <w:tcBorders>
              <w:tl2br w:val="nil"/>
              <w:tr2bl w:val="nil"/>
            </w:tcBorders>
            <w:vAlign w:val="center"/>
          </w:tcPr>
          <w:p w14:paraId="538B4601">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134" w:type="dxa"/>
            <w:vMerge w:val="continue"/>
            <w:tcBorders>
              <w:tl2br w:val="nil"/>
              <w:tr2bl w:val="nil"/>
            </w:tcBorders>
          </w:tcPr>
          <w:p w14:paraId="43A9B63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r>
      <w:tr w14:paraId="0B82C9D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88" w:hRule="atLeast"/>
        </w:trPr>
        <w:tc>
          <w:tcPr>
            <w:tcW w:w="442" w:type="dxa"/>
            <w:tcBorders>
              <w:tl2br w:val="nil"/>
              <w:tr2bl w:val="nil"/>
            </w:tcBorders>
          </w:tcPr>
          <w:p w14:paraId="30D379DD">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97" w:type="dxa"/>
            <w:tcBorders>
              <w:tl2br w:val="nil"/>
              <w:tr2bl w:val="nil"/>
            </w:tcBorders>
            <w:vAlign w:val="center"/>
          </w:tcPr>
          <w:p w14:paraId="51FA1A66">
            <w:pPr>
              <w:keepNext w:val="0"/>
              <w:keepLines w:val="0"/>
              <w:pageBreakBefore w:val="0"/>
              <w:suppressLineNumbers w:val="0"/>
              <w:wordWrap/>
              <w:topLinePunct w:val="0"/>
              <w:autoSpaceDE w:val="0"/>
              <w:autoSpaceDN w:val="0"/>
              <w:bidi w:val="0"/>
              <w:spacing w:before="0" w:beforeAutospacing="0" w:after="0" w:afterAutospacing="0" w:line="240" w:lineRule="auto"/>
              <w:ind w:left="0" w:leftChars="0" w:right="0" w:firstLine="0" w:firstLineChars="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 xml:space="preserve"> 内部控制的合规性</w:t>
            </w:r>
          </w:p>
          <w:p w14:paraId="7240734A">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356" w:type="dxa"/>
            <w:tcBorders>
              <w:tl2br w:val="nil"/>
              <w:tr2bl w:val="nil"/>
            </w:tcBorders>
            <w:vAlign w:val="center"/>
          </w:tcPr>
          <w:p w14:paraId="77554C3E">
            <w:pPr>
              <w:keepNext w:val="0"/>
              <w:keepLines w:val="0"/>
              <w:suppressLineNumbers w:val="0"/>
              <w:spacing w:before="0" w:beforeAutospacing="0" w:after="0" w:afterAutospacing="0" w:line="240" w:lineRule="auto"/>
              <w:ind w:left="0" w:right="0" w:firstLine="0" w:firstLineChars="0"/>
              <w:rPr>
                <w:rFonts w:hint="eastAsia" w:ascii="仿宋_GB2312" w:hAnsi="仿宋_GB2312" w:cs="仿宋_GB2312"/>
                <w:sz w:val="24"/>
                <w:szCs w:val="24"/>
              </w:rPr>
            </w:pPr>
            <w:r>
              <w:rPr>
                <w:rFonts w:hint="eastAsia" w:ascii="仿宋_GB2312" w:hAnsi="仿宋_GB2312" w:cs="仿宋_GB2312"/>
                <w:sz w:val="24"/>
                <w:szCs w:val="24"/>
              </w:rPr>
              <w:t>系统学习内部控制合规性的基本概念，深入理解其在企业运营中的重要地位与作用。</w:t>
            </w:r>
          </w:p>
        </w:tc>
        <w:tc>
          <w:tcPr>
            <w:tcW w:w="3024" w:type="dxa"/>
            <w:tcBorders>
              <w:tl2br w:val="nil"/>
              <w:tr2bl w:val="nil"/>
            </w:tcBorders>
            <w:vAlign w:val="center"/>
          </w:tcPr>
          <w:p w14:paraId="2E584C0D">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能够精准阐述内部控制合规性的概念，清晰解读其在企业内部控制体系中的核心作用，准确说明合规性与其他内部控制要素的相互关系，可随时进行详细且有条理的讲解。​</w:t>
            </w:r>
          </w:p>
          <w:p w14:paraId="53FF452B">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熟悉不同行业与内部控制合规性相关的主要法律法规及监管要求，能够准确指出各项法规对企业内部控制具体环节的规定，如在采购流程、财务报告编制等方面的合规要求。</w:t>
            </w:r>
          </w:p>
          <w:p w14:paraId="6C3F4B0D">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2505" w:type="dxa"/>
            <w:vMerge w:val="continue"/>
            <w:tcBorders>
              <w:tl2br w:val="nil"/>
              <w:tr2bl w:val="nil"/>
            </w:tcBorders>
            <w:vAlign w:val="center"/>
          </w:tcPr>
          <w:p w14:paraId="7CF3FA96">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134" w:type="dxa"/>
            <w:vMerge w:val="continue"/>
            <w:tcBorders>
              <w:tl2br w:val="nil"/>
              <w:tr2bl w:val="nil"/>
            </w:tcBorders>
          </w:tcPr>
          <w:p w14:paraId="44455182">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r>
      <w:tr w14:paraId="4C74E84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88" w:hRule="atLeast"/>
        </w:trPr>
        <w:tc>
          <w:tcPr>
            <w:tcW w:w="442" w:type="dxa"/>
            <w:tcBorders>
              <w:tl2br w:val="nil"/>
              <w:tr2bl w:val="nil"/>
            </w:tcBorders>
          </w:tcPr>
          <w:p w14:paraId="3F100202">
            <w:pPr>
              <w:keepNext w:val="0"/>
              <w:keepLines w:val="0"/>
              <w:suppressLineNumbers w:val="0"/>
              <w:spacing w:before="0" w:beforeAutospacing="0" w:after="0" w:afterAutospacing="0" w:line="240" w:lineRule="auto"/>
              <w:ind w:left="0" w:right="0" w:firstLine="0" w:firstLineChars="0"/>
              <w:rPr>
                <w:rFonts w:hint="default" w:ascii="仿宋_GB2312" w:hAnsi="仿宋_GB2312" w:cs="仿宋_GB2312"/>
                <w:sz w:val="24"/>
                <w:szCs w:val="24"/>
              </w:rPr>
            </w:pPr>
          </w:p>
        </w:tc>
        <w:tc>
          <w:tcPr>
            <w:tcW w:w="1197" w:type="dxa"/>
            <w:tcBorders>
              <w:tl2br w:val="nil"/>
              <w:tr2bl w:val="nil"/>
            </w:tcBorders>
            <w:vAlign w:val="center"/>
          </w:tcPr>
          <w:p w14:paraId="6CFF1854">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仿宋_GB2312" w:hAnsi="仿宋_GB2312" w:cs="仿宋_GB2312"/>
                <w:sz w:val="24"/>
                <w:szCs w:val="24"/>
              </w:rPr>
            </w:pPr>
            <w:r>
              <w:rPr>
                <w:rFonts w:hint="default" w:ascii="方正仿宋_GB2312" w:hAnsi="方正仿宋_GB2312" w:eastAsia="方正仿宋_GB2312" w:cs="方正仿宋_GB2312"/>
                <w:b w:val="0"/>
                <w:bCs w:val="0"/>
                <w:color w:val="auto"/>
                <w:sz w:val="21"/>
                <w:szCs w:val="21"/>
                <w:lang w:val="en-US" w:eastAsia="zh-CN"/>
              </w:rPr>
              <w:t>内部控制的未来发展</w:t>
            </w:r>
          </w:p>
        </w:tc>
        <w:tc>
          <w:tcPr>
            <w:tcW w:w="1356" w:type="dxa"/>
            <w:tcBorders>
              <w:tl2br w:val="nil"/>
              <w:tr2bl w:val="nil"/>
            </w:tcBorders>
            <w:vAlign w:val="center"/>
          </w:tcPr>
          <w:p w14:paraId="6C7AE77E">
            <w:pPr>
              <w:keepNext w:val="0"/>
              <w:keepLines w:val="0"/>
              <w:pageBreakBefore w:val="0"/>
              <w:suppressLineNumbers w:val="0"/>
              <w:wordWrap/>
              <w:topLinePunct w:val="0"/>
              <w:autoSpaceDE w:val="0"/>
              <w:autoSpaceDN w:val="0"/>
              <w:bidi w:val="0"/>
              <w:spacing w:before="0" w:beforeAutospacing="0" w:after="0" w:afterAutospacing="0" w:line="240" w:lineRule="auto"/>
              <w:ind w:left="0" w:right="0"/>
              <w:jc w:val="both"/>
              <w:rPr>
                <w:rFonts w:hint="default" w:ascii="方正仿宋_GB2312" w:hAnsi="方正仿宋_GB2312" w:eastAsia="方正仿宋_GB2312" w:cs="方正仿宋_GB2312"/>
                <w:b w:val="0"/>
                <w:bCs w:val="0"/>
                <w:color w:val="auto"/>
                <w:sz w:val="21"/>
                <w:szCs w:val="21"/>
                <w:lang w:val="en-US" w:eastAsia="zh-CN"/>
              </w:rPr>
            </w:pPr>
            <w:r>
              <w:rPr>
                <w:rFonts w:hint="default" w:ascii="方正仿宋_GB2312" w:hAnsi="方正仿宋_GB2312" w:eastAsia="方正仿宋_GB2312" w:cs="方正仿宋_GB2312"/>
                <w:b w:val="0"/>
                <w:bCs w:val="0"/>
                <w:color w:val="auto"/>
                <w:sz w:val="21"/>
                <w:szCs w:val="21"/>
                <w:lang w:val="en-US" w:eastAsia="zh-CN"/>
              </w:rPr>
              <w:t>内部控制的新趋势</w:t>
            </w:r>
            <w:r>
              <w:rPr>
                <w:rFonts w:hint="eastAsia" w:ascii="方正仿宋_GB2312" w:hAnsi="方正仿宋_GB2312" w:eastAsia="方正仿宋_GB2312" w:cs="方正仿宋_GB2312"/>
                <w:b w:val="0"/>
                <w:bCs w:val="0"/>
                <w:color w:val="auto"/>
                <w:sz w:val="21"/>
                <w:szCs w:val="21"/>
                <w:lang w:val="en-US" w:eastAsia="zh-CN"/>
              </w:rPr>
              <w:t>、</w:t>
            </w:r>
            <w:r>
              <w:rPr>
                <w:rFonts w:hint="default" w:ascii="方正仿宋_GB2312" w:hAnsi="方正仿宋_GB2312" w:eastAsia="方正仿宋_GB2312" w:cs="方正仿宋_GB2312"/>
                <w:b w:val="0"/>
                <w:bCs w:val="0"/>
                <w:color w:val="auto"/>
                <w:sz w:val="21"/>
                <w:szCs w:val="21"/>
                <w:lang w:val="en-US" w:eastAsia="zh-CN"/>
              </w:rPr>
              <w:t>技术创新对内部控制的影响</w:t>
            </w:r>
            <w:r>
              <w:rPr>
                <w:rFonts w:hint="eastAsia" w:ascii="方正仿宋_GB2312" w:hAnsi="方正仿宋_GB2312" w:eastAsia="方正仿宋_GB2312" w:cs="方正仿宋_GB2312"/>
                <w:b w:val="0"/>
                <w:bCs w:val="0"/>
                <w:color w:val="auto"/>
                <w:sz w:val="21"/>
                <w:szCs w:val="21"/>
                <w:lang w:val="en-US" w:eastAsia="zh-CN"/>
              </w:rPr>
              <w:t>、</w:t>
            </w:r>
            <w:r>
              <w:rPr>
                <w:rFonts w:hint="default" w:ascii="方正仿宋_GB2312" w:hAnsi="方正仿宋_GB2312" w:eastAsia="方正仿宋_GB2312" w:cs="方正仿宋_GB2312"/>
                <w:b w:val="0"/>
                <w:bCs w:val="0"/>
                <w:color w:val="auto"/>
                <w:sz w:val="21"/>
                <w:szCs w:val="21"/>
                <w:lang w:val="en-US" w:eastAsia="zh-CN"/>
              </w:rPr>
              <w:t>内部控制的国际化与本土化</w:t>
            </w:r>
          </w:p>
          <w:p w14:paraId="0D28C5DA">
            <w:pPr>
              <w:keepNext w:val="0"/>
              <w:keepLines w:val="0"/>
              <w:suppressLineNumbers w:val="0"/>
              <w:spacing w:before="0" w:beforeAutospacing="0" w:after="0" w:afterAutospacing="0" w:line="240" w:lineRule="auto"/>
              <w:ind w:left="0" w:right="0" w:firstLine="0" w:firstLineChars="0"/>
              <w:rPr>
                <w:rFonts w:hint="eastAsia" w:ascii="仿宋_GB2312" w:hAnsi="仿宋_GB2312" w:cs="仿宋_GB2312"/>
                <w:sz w:val="24"/>
                <w:szCs w:val="24"/>
              </w:rPr>
            </w:pPr>
          </w:p>
        </w:tc>
        <w:tc>
          <w:tcPr>
            <w:tcW w:w="3024" w:type="dxa"/>
            <w:tcBorders>
              <w:tl2br w:val="nil"/>
              <w:tr2bl w:val="nil"/>
            </w:tcBorders>
            <w:vAlign w:val="center"/>
          </w:tcPr>
          <w:p w14:paraId="69CC44E3">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全面了解新兴技术在内部控制各环节的应用原理与潜在影响，能够准确阐述大数据、人工智能等技术如何提升内部控制的效率与效果，以及可能带来的新风险与挑战。​</w:t>
            </w:r>
          </w:p>
          <w:p w14:paraId="21BF4954">
            <w:pPr>
              <w:keepNext w:val="0"/>
              <w:keepLines w:val="0"/>
              <w:suppressLineNumbers w:val="0"/>
              <w:spacing w:before="0" w:beforeAutospacing="0" w:after="0" w:afterAutospacing="0" w:line="240" w:lineRule="auto"/>
              <w:ind w:left="0" w:right="0" w:firstLine="0" w:firstLineChars="0"/>
              <w:rPr>
                <w:rFonts w:hint="eastAsia" w:ascii="仿宋_GB2312"/>
                <w:sz w:val="24"/>
                <w:szCs w:val="24"/>
                <w:lang w:val="en-US" w:eastAsia="zh-CN"/>
              </w:rPr>
            </w:pPr>
            <w:r>
              <w:rPr>
                <w:rFonts w:hint="eastAsia" w:ascii="仿宋_GB2312"/>
                <w:sz w:val="24"/>
                <w:szCs w:val="24"/>
                <w:lang w:val="en-US" w:eastAsia="zh-CN"/>
              </w:rPr>
              <w:t>熟悉国内外最新的内部控制相关法规政策，能够清晰解读法规政策变化对企业内部控制制度、流程和执行的具体要求，准确把握法规政策导向。</w:t>
            </w:r>
          </w:p>
          <w:p w14:paraId="067C9E55">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2505" w:type="dxa"/>
            <w:vMerge w:val="continue"/>
            <w:tcBorders>
              <w:tl2br w:val="nil"/>
              <w:tr2bl w:val="nil"/>
            </w:tcBorders>
            <w:vAlign w:val="center"/>
          </w:tcPr>
          <w:p w14:paraId="28964E3D">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c>
          <w:tcPr>
            <w:tcW w:w="1134" w:type="dxa"/>
            <w:vMerge w:val="continue"/>
            <w:tcBorders>
              <w:tl2br w:val="nil"/>
              <w:tr2bl w:val="nil"/>
            </w:tcBorders>
          </w:tcPr>
          <w:p w14:paraId="272ED0FB">
            <w:pPr>
              <w:keepNext w:val="0"/>
              <w:keepLines w:val="0"/>
              <w:suppressLineNumbers w:val="0"/>
              <w:spacing w:before="0" w:beforeAutospacing="0" w:after="0" w:afterAutospacing="0" w:line="240" w:lineRule="auto"/>
              <w:ind w:left="0" w:right="0" w:firstLine="0" w:firstLineChars="0"/>
              <w:jc w:val="center"/>
              <w:rPr>
                <w:rFonts w:hint="default" w:ascii="仿宋_GB2312" w:hAnsi="仿宋_GB2312" w:cs="仿宋_GB2312"/>
                <w:sz w:val="24"/>
                <w:szCs w:val="24"/>
              </w:rPr>
            </w:pPr>
          </w:p>
        </w:tc>
      </w:tr>
    </w:tbl>
    <w:p w14:paraId="1D3BA06D">
      <w:pPr>
        <w:pStyle w:val="2"/>
        <w:ind w:firstLine="653"/>
      </w:pPr>
      <w:bookmarkStart w:id="65" w:name="_Toc15828"/>
      <w:r>
        <w:rPr>
          <w:rFonts w:hint="eastAsia"/>
        </w:rPr>
        <w:t>八、教学资源</w:t>
      </w:r>
      <w:bookmarkEnd w:id="63"/>
      <w:bookmarkEnd w:id="64"/>
      <w:bookmarkEnd w:id="65"/>
    </w:p>
    <w:p w14:paraId="6C0CE37E">
      <w:pPr>
        <w:pStyle w:val="3"/>
        <w:ind w:firstLine="560"/>
        <w:rPr>
          <w:rFonts w:hint="eastAsia"/>
        </w:rPr>
      </w:pPr>
      <w:bookmarkStart w:id="66" w:name="_Toc20587"/>
      <w:bookmarkStart w:id="67" w:name="_Toc480"/>
      <w:r>
        <w:rPr>
          <w:rFonts w:hint="eastAsia"/>
        </w:rPr>
        <w:t>（一）主要参考教材</w:t>
      </w:r>
      <w:bookmarkEnd w:id="66"/>
      <w:bookmarkEnd w:id="67"/>
    </w:p>
    <w:p w14:paraId="6D923480">
      <w:bookmarkStart w:id="68" w:name="OLE_LINK30"/>
      <w:r>
        <w:rPr>
          <w:rFonts w:hint="eastAsia"/>
          <w:lang w:eastAsia="zh-CN"/>
        </w:rPr>
        <w:t>《</w:t>
      </w:r>
      <w:r>
        <w:rPr>
          <w:rFonts w:hint="eastAsia"/>
        </w:rPr>
        <w:t>企业内部控制</w:t>
      </w:r>
      <w:r>
        <w:rPr>
          <w:rFonts w:hint="eastAsia"/>
          <w:lang w:eastAsia="zh-CN"/>
        </w:rPr>
        <w:t>》</w:t>
      </w:r>
      <w:r>
        <w:rPr>
          <w:rFonts w:hint="eastAsia"/>
        </w:rPr>
        <w:t>（第二版）</w:t>
      </w:r>
      <w:r>
        <w:rPr>
          <w:rFonts w:hint="eastAsia"/>
        </w:rPr>
        <w:tab/>
      </w:r>
      <w:r>
        <w:rPr>
          <w:rFonts w:hint="eastAsia"/>
        </w:rPr>
        <w:t>高翠莲</w:t>
      </w:r>
      <w:r>
        <w:rPr>
          <w:rFonts w:hint="eastAsia"/>
        </w:rPr>
        <w:tab/>
      </w:r>
      <w:bookmarkEnd w:id="68"/>
      <w:r>
        <w:rPr>
          <w:rFonts w:hint="eastAsia"/>
        </w:rPr>
        <w:tab/>
      </w:r>
    </w:p>
    <w:p w14:paraId="74BD8F82">
      <w:pPr>
        <w:pStyle w:val="3"/>
        <w:numPr>
          <w:ilvl w:val="0"/>
          <w:numId w:val="8"/>
        </w:numPr>
        <w:ind w:left="0" w:leftChars="0" w:firstLine="0" w:firstLineChars="0"/>
        <w:rPr>
          <w:rFonts w:hint="eastAsia"/>
        </w:rPr>
      </w:pPr>
      <w:bookmarkStart w:id="69" w:name="_Toc11570"/>
      <w:bookmarkStart w:id="70" w:name="_Toc29665"/>
      <w:r>
        <w:rPr>
          <w:rFonts w:hint="eastAsia"/>
        </w:rPr>
        <w:t>其他参考资料</w:t>
      </w:r>
      <w:bookmarkEnd w:id="69"/>
      <w:bookmarkEnd w:id="70"/>
    </w:p>
    <w:p w14:paraId="32F4DC00">
      <w:pPr>
        <w:numPr>
          <w:ilvl w:val="0"/>
          <w:numId w:val="0"/>
        </w:numPr>
        <w:ind w:leftChars="0"/>
      </w:pPr>
      <w:r>
        <w:rPr>
          <w:rFonts w:hint="default"/>
          <w:lang w:val="en-US" w:eastAsia="zh-CN"/>
        </w:rPr>
        <w:t>学术期刊论文​</w:t>
      </w:r>
    </w:p>
    <w:p w14:paraId="5F008DF6">
      <w:pPr>
        <w:numPr>
          <w:ilvl w:val="0"/>
          <w:numId w:val="0"/>
        </w:numPr>
        <w:ind w:leftChars="0"/>
        <w:rPr>
          <w:rFonts w:hint="default"/>
        </w:rPr>
      </w:pPr>
      <w:r>
        <w:rPr>
          <w:rFonts w:hint="default"/>
        </w:rPr>
        <w:t>《会计研究》《审计与经济研究》</w:t>
      </w:r>
    </w:p>
    <w:p w14:paraId="3D3A0EC0">
      <w:pPr>
        <w:numPr>
          <w:ilvl w:val="0"/>
          <w:numId w:val="0"/>
        </w:numPr>
        <w:ind w:leftChars="0"/>
      </w:pPr>
      <w:r>
        <w:rPr>
          <w:rFonts w:hint="default"/>
        </w:rPr>
        <w:t>中国内部控制网：提供丰富的内部控制资讯，涵盖政策法规解读、行业最佳实践案例分享、专家观点等板块。企业管理者和学习者可在此及时获取国家关于内部控制的最新政策动态，如对《企业内部控制基本规范》修订内容的详细解读，助力企业合规运营。同时，大量实际案例展示了不同规模、不同行业企业在内部控制建设中的成功经验与失败教训，具有很强的借鉴意义。​</w:t>
      </w:r>
    </w:p>
    <w:p w14:paraId="48DF5F53">
      <w:pPr>
        <w:numPr>
          <w:ilvl w:val="0"/>
          <w:numId w:val="0"/>
        </w:numPr>
        <w:ind w:leftChars="0"/>
      </w:pPr>
      <w:r>
        <w:rPr>
          <w:rFonts w:hint="default"/>
        </w:rPr>
        <w:t>知乎 - 内部控制话题板块：众多内部控制领域的从业者、学者及爱好者在此交流讨论。问题涵盖内部控制体系搭建的具体步骤、如何解决内部控制在执行中遇到的阻力等实际问题。如关于 “中小企业如何在有限资源下建立有效的内部控制体系” 的讨论，汇聚了各方观点和建议，从成本控制、关键流程把控等多角度为中小企业提供思路。</w:t>
      </w:r>
    </w:p>
    <w:p w14:paraId="7BAD30AA">
      <w:pPr>
        <w:numPr>
          <w:ilvl w:val="0"/>
          <w:numId w:val="0"/>
        </w:numPr>
        <w:ind w:leftChars="0"/>
      </w:pPr>
    </w:p>
    <w:p w14:paraId="395C91AA">
      <w:pPr>
        <w:pStyle w:val="3"/>
        <w:ind w:firstLine="560"/>
      </w:pPr>
      <w:bookmarkStart w:id="71" w:name="_Toc6029"/>
      <w:bookmarkStart w:id="72" w:name="_Toc21776"/>
      <w:r>
        <w:rPr>
          <w:rFonts w:hint="eastAsia"/>
        </w:rPr>
        <w:t>（三）实训条件</w:t>
      </w:r>
      <w:bookmarkEnd w:id="71"/>
      <w:bookmarkEnd w:id="72"/>
    </w:p>
    <w:p w14:paraId="1B80B787">
      <w:pPr>
        <w:spacing w:line="360" w:lineRule="auto"/>
        <w:ind w:firstLine="560"/>
      </w:pPr>
      <w:r>
        <w:rPr>
          <w:rFonts w:hint="eastAsia"/>
        </w:rPr>
        <w:t>1.硬件设施：</w:t>
      </w:r>
    </w:p>
    <w:p w14:paraId="3E069887">
      <w:pPr>
        <w:spacing w:line="360" w:lineRule="auto"/>
        <w:ind w:firstLine="560"/>
      </w:pPr>
      <w:r>
        <w:rPr>
          <w:rFonts w:hint="eastAsia"/>
        </w:rPr>
        <w:t>2.软件设施：</w:t>
      </w:r>
    </w:p>
    <w:p w14:paraId="4C190CE4">
      <w:pPr>
        <w:pStyle w:val="3"/>
        <w:ind w:firstLine="560"/>
        <w:rPr>
          <w:rFonts w:hint="eastAsia"/>
        </w:rPr>
      </w:pPr>
      <w:bookmarkStart w:id="73" w:name="_Toc23416"/>
      <w:bookmarkStart w:id="74" w:name="_Toc29888"/>
      <w:r>
        <w:rPr>
          <w:rFonts w:hint="eastAsia"/>
        </w:rPr>
        <w:t>（四）信息化教学资源</w:t>
      </w:r>
      <w:bookmarkEnd w:id="73"/>
      <w:bookmarkEnd w:id="74"/>
    </w:p>
    <w:p w14:paraId="0C22C4B8">
      <w:r>
        <w:rPr>
          <w:rFonts w:hint="default"/>
          <w:lang w:val="en-US" w:eastAsia="zh-CN"/>
        </w:rPr>
        <w:t>在线课程平台​</w:t>
      </w:r>
    </w:p>
    <w:p w14:paraId="285DD758">
      <w:pPr>
        <w:rPr>
          <w:rFonts w:hint="default"/>
        </w:rPr>
      </w:pPr>
      <w:r>
        <w:rPr>
          <w:rFonts w:hint="default"/>
        </w:rPr>
        <w:t>中国大学 MOOC</w:t>
      </w:r>
      <w:r>
        <w:rPr>
          <w:rFonts w:hint="eastAsia"/>
          <w:lang w:eastAsia="zh-CN"/>
        </w:rPr>
        <w:t>、</w:t>
      </w:r>
      <w:r>
        <w:rPr>
          <w:rFonts w:hint="default"/>
        </w:rPr>
        <w:t>学堂在线东奥会计在线</w:t>
      </w:r>
    </w:p>
    <w:p w14:paraId="2EA8B3E5">
      <w:pPr>
        <w:rPr>
          <w:rFonts w:hint="default"/>
        </w:rPr>
      </w:pPr>
      <w:r>
        <w:rPr>
          <w:rFonts w:hint="default"/>
          <w:lang w:val="en-US" w:eastAsia="zh-CN"/>
        </w:rPr>
        <w:t>数字化学习平台​</w:t>
      </w:r>
    </w:p>
    <w:p w14:paraId="1E2544C3">
      <w:r>
        <w:rPr>
          <w:rFonts w:hint="default"/>
        </w:rPr>
        <w:t>中国内部控制网（移动端应用）</w:t>
      </w:r>
      <w:r>
        <w:rPr>
          <w:rFonts w:hint="eastAsia"/>
          <w:lang w:eastAsia="zh-CN"/>
        </w:rPr>
        <w:t>、</w:t>
      </w:r>
      <w:r>
        <w:rPr>
          <w:rFonts w:hint="default"/>
        </w:rPr>
        <w:t>内控知识库 APP</w:t>
      </w:r>
      <w:r>
        <w:rPr>
          <w:rFonts w:hint="eastAsia"/>
          <w:lang w:eastAsia="zh-CN"/>
        </w:rPr>
        <w:t>、</w:t>
      </w:r>
      <w:r>
        <w:rPr>
          <w:rFonts w:hint="default"/>
        </w:rPr>
        <w:t>企业管理学习平台（含内控模块）</w:t>
      </w:r>
    </w:p>
    <w:p w14:paraId="160C5114"/>
    <w:p w14:paraId="619FCF35">
      <w:pPr>
        <w:pStyle w:val="2"/>
        <w:numPr>
          <w:ilvl w:val="0"/>
          <w:numId w:val="9"/>
        </w:numPr>
        <w:ind w:firstLine="653"/>
        <w:rPr>
          <w:rFonts w:hint="eastAsia"/>
        </w:rPr>
      </w:pPr>
      <w:bookmarkStart w:id="75" w:name="_Toc6694"/>
      <w:bookmarkStart w:id="76" w:name="_Toc28402"/>
      <w:bookmarkStart w:id="77" w:name="_Hlk90479468"/>
      <w:r>
        <w:rPr>
          <w:rFonts w:hint="eastAsia"/>
        </w:rPr>
        <w:t>师资要求</w:t>
      </w:r>
      <w:bookmarkEnd w:id="75"/>
      <w:bookmarkEnd w:id="76"/>
    </w:p>
    <w:p w14:paraId="4911006D">
      <w:pPr>
        <w:numPr>
          <w:ilvl w:val="0"/>
          <w:numId w:val="0"/>
        </w:numPr>
        <w:rPr>
          <w:rFonts w:hint="default"/>
          <w:lang w:val="en-US" w:eastAsia="zh-CN"/>
        </w:rPr>
      </w:pPr>
      <w:r>
        <w:rPr>
          <w:rFonts w:hint="eastAsia"/>
          <w:lang w:val="en-US" w:eastAsia="zh-CN"/>
        </w:rPr>
        <w:t>（一）</w:t>
      </w:r>
      <w:r>
        <w:rPr>
          <w:rFonts w:hint="default"/>
          <w:lang w:val="en-US" w:eastAsia="zh-CN"/>
        </w:rPr>
        <w:t>专业知识扎实</w:t>
      </w:r>
    </w:p>
    <w:p w14:paraId="3C81AF13">
      <w:pPr>
        <w:numPr>
          <w:ilvl w:val="0"/>
          <w:numId w:val="0"/>
        </w:numPr>
        <w:ind w:firstLine="560" w:firstLineChars="200"/>
        <w:rPr>
          <w:rFonts w:hint="default"/>
        </w:rPr>
      </w:pPr>
      <w:r>
        <w:rPr>
          <w:rFonts w:hint="default"/>
          <w:lang w:val="en-US" w:eastAsia="zh-CN"/>
        </w:rPr>
        <w:t>教师应具备会计、审计、财务管理等相关专业背景，深入理解企业内部控制的基本理论、原则、方法和流程，熟悉《企业内部控制基本规范》及其配套指引等法规政策。</w:t>
      </w:r>
    </w:p>
    <w:p w14:paraId="7C2FB3C8">
      <w:pPr>
        <w:numPr>
          <w:ilvl w:val="0"/>
          <w:numId w:val="0"/>
        </w:numPr>
        <w:rPr>
          <w:rFonts w:hint="default"/>
        </w:rPr>
      </w:pPr>
      <w:r>
        <w:rPr>
          <w:rFonts w:hint="eastAsia"/>
          <w:lang w:val="en-US" w:eastAsia="zh-CN"/>
        </w:rPr>
        <w:t>（二）</w:t>
      </w:r>
      <w:r>
        <w:rPr>
          <w:rFonts w:hint="default"/>
          <w:lang w:val="en-US" w:eastAsia="zh-CN"/>
        </w:rPr>
        <w:t>知识更新及时</w:t>
      </w:r>
    </w:p>
    <w:p w14:paraId="76964D7D">
      <w:pPr>
        <w:numPr>
          <w:ilvl w:val="0"/>
          <w:numId w:val="0"/>
        </w:numPr>
        <w:ind w:firstLine="560" w:firstLineChars="200"/>
      </w:pPr>
      <w:r>
        <w:rPr>
          <w:rFonts w:hint="default"/>
          <w:lang w:val="en-US" w:eastAsia="zh-CN"/>
        </w:rPr>
        <w:t>关注企业内部控制领域的发展动态和最新研究成果，能够将前沿知识和实际案例融入教学，使学生接触到最新的内部控制理念和实践方法。</w:t>
      </w:r>
      <w:r>
        <w:rPr>
          <w:rFonts w:hint="eastAsia"/>
        </w:rPr>
        <w:t>教师需具备“智能风控系统实施经验”或“大数据分析师”职业资格；“每学年参与企业数据中台建设项目≥1项。</w:t>
      </w:r>
    </w:p>
    <w:p w14:paraId="46FD9D5C">
      <w:pPr>
        <w:pStyle w:val="2"/>
        <w:numPr>
          <w:ilvl w:val="0"/>
          <w:numId w:val="9"/>
        </w:numPr>
        <w:ind w:left="0" w:leftChars="0" w:firstLine="643" w:firstLineChars="200"/>
        <w:rPr>
          <w:rFonts w:hint="eastAsia"/>
        </w:rPr>
      </w:pPr>
      <w:bookmarkStart w:id="78" w:name="_Toc29184"/>
      <w:bookmarkStart w:id="79" w:name="_Toc7746"/>
      <w:bookmarkStart w:id="80" w:name="_Toc502337269"/>
      <w:r>
        <w:rPr>
          <w:rFonts w:hint="eastAsia"/>
        </w:rPr>
        <w:t>其它说明</w:t>
      </w:r>
      <w:bookmarkEnd w:id="78"/>
      <w:bookmarkEnd w:id="79"/>
      <w:bookmarkEnd w:id="80"/>
    </w:p>
    <w:p w14:paraId="337457F2">
      <w:pPr>
        <w:numPr>
          <w:ilvl w:val="0"/>
          <w:numId w:val="0"/>
        </w:numPr>
        <w:ind w:leftChars="200"/>
        <w:rPr>
          <w:rFonts w:hint="eastAsia" w:eastAsia="仿宋_GB2312"/>
          <w:lang w:val="en-US" w:eastAsia="zh-CN"/>
        </w:rPr>
      </w:pPr>
      <w:r>
        <w:rPr>
          <w:rFonts w:hint="eastAsia"/>
          <w:lang w:val="en-US" w:eastAsia="zh-CN"/>
        </w:rPr>
        <w:t>无</w:t>
      </w:r>
    </w:p>
    <w:bookmarkEnd w:id="3"/>
    <w:bookmarkEnd w:id="4"/>
    <w:bookmarkEnd w:id="5"/>
    <w:bookmarkEnd w:id="77"/>
    <w:p w14:paraId="3F6917D1">
      <w:pPr>
        <w:ind w:firstLine="560"/>
        <w:rPr>
          <w:rFonts w:ascii="仿宋_GB2312" w:hAnsi="宋体" w:cs="宋体"/>
          <w:kern w:val="0"/>
          <w:szCs w:val="28"/>
        </w:rPr>
      </w:pPr>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200247B" w:usb2="00000009" w:usb3="00000000" w:csb0="200001FF" w:csb1="00000000"/>
  </w:font>
  <w:font w:name="方正流行体简体">
    <w:altName w:val="微软雅黑"/>
    <w:panose1 w:val="020B0604020202020204"/>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panose1 w:val="0201050906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Segoe UI">
    <w:panose1 w:val="020B0502040204020203"/>
    <w:charset w:val="00"/>
    <w:family w:val="auto"/>
    <w:pitch w:val="default"/>
    <w:sig w:usb0="E4002EFF" w:usb1="C000E47F" w:usb2="00000009" w:usb3="00000000" w:csb0="200001FF" w:csb1="00000000"/>
  </w:font>
  <w:font w:name="PingFang SC">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2BD8BB">
    <w:pPr>
      <w:pStyle w:val="8"/>
      <w:ind w:firstLine="360"/>
      <w:jc w:val="center"/>
    </w:pPr>
    <w:r>
      <w:rPr>
        <w:lang w:val="zh-CN"/>
      </w:rPr>
      <w:t xml:space="preserve"> </w:t>
    </w:r>
  </w:p>
  <w:p w14:paraId="7BD2AFA5">
    <w:pPr>
      <w:pStyle w:val="8"/>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481AE">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3741C">
    <w:pPr>
      <w:pStyle w:val="8"/>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209BDB">
    <w:pPr>
      <w:pStyle w:val="8"/>
      <w:ind w:firstLine="360"/>
      <w:jc w:val="center"/>
    </w:pPr>
    <w:r>
      <w:rPr>
        <w:lang w:val="zh-CN"/>
      </w:rPr>
      <w:t xml:space="preserve"> </w:t>
    </w:r>
  </w:p>
  <w:p w14:paraId="7F3B6354">
    <w:pPr>
      <w:pStyle w:val="8"/>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9135F8">
    <w:pPr>
      <w:pStyle w:val="8"/>
      <w:ind w:firstLine="360"/>
      <w:jc w:val="center"/>
    </w:pPr>
    <w:r>
      <w:rPr>
        <w:lang w:val="zh-CN"/>
      </w:rPr>
      <w:t xml:space="preserve"> </w:t>
    </w:r>
  </w:p>
  <w:p w14:paraId="0A8261DE">
    <w:pPr>
      <w:pStyle w:val="8"/>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78F167">
    <w:pPr>
      <w:pStyle w:val="9"/>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5729F">
    <w:pPr>
      <w:pStyle w:val="9"/>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D5507F">
    <w:pPr>
      <w:pStyle w:val="9"/>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FA031">
    <w:pPr>
      <w:pStyle w:val="9"/>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46F812"/>
    <w:multiLevelType w:val="singleLevel"/>
    <w:tmpl w:val="9C46F812"/>
    <w:lvl w:ilvl="0" w:tentative="0">
      <w:start w:val="2"/>
      <w:numFmt w:val="chineseCounting"/>
      <w:suff w:val="nothing"/>
      <w:lvlText w:val="%1、"/>
      <w:lvlJc w:val="left"/>
      <w:rPr>
        <w:rFonts w:hint="eastAsia"/>
      </w:rPr>
    </w:lvl>
  </w:abstractNum>
  <w:abstractNum w:abstractNumId="1">
    <w:nsid w:val="D4C284F5"/>
    <w:multiLevelType w:val="singleLevel"/>
    <w:tmpl w:val="D4C284F5"/>
    <w:lvl w:ilvl="0" w:tentative="0">
      <w:start w:val="1"/>
      <w:numFmt w:val="decimal"/>
      <w:lvlText w:val="%1."/>
      <w:lvlJc w:val="left"/>
      <w:pPr>
        <w:tabs>
          <w:tab w:val="left" w:pos="312"/>
        </w:tabs>
      </w:pPr>
    </w:lvl>
  </w:abstractNum>
  <w:abstractNum w:abstractNumId="2">
    <w:nsid w:val="15FDB9D0"/>
    <w:multiLevelType w:val="singleLevel"/>
    <w:tmpl w:val="15FDB9D0"/>
    <w:lvl w:ilvl="0" w:tentative="0">
      <w:start w:val="1"/>
      <w:numFmt w:val="decimal"/>
      <w:lvlText w:val="%1."/>
      <w:lvlJc w:val="left"/>
      <w:pPr>
        <w:tabs>
          <w:tab w:val="left" w:pos="312"/>
        </w:tabs>
      </w:pPr>
    </w:lvl>
  </w:abstractNum>
  <w:abstractNum w:abstractNumId="3">
    <w:nsid w:val="217D93C7"/>
    <w:multiLevelType w:val="singleLevel"/>
    <w:tmpl w:val="217D93C7"/>
    <w:lvl w:ilvl="0" w:tentative="0">
      <w:start w:val="2"/>
      <w:numFmt w:val="chineseCounting"/>
      <w:suff w:val="nothing"/>
      <w:lvlText w:val="（%1）"/>
      <w:lvlJc w:val="left"/>
      <w:rPr>
        <w:rFonts w:hint="eastAsia"/>
      </w:rPr>
    </w:lvl>
  </w:abstractNum>
  <w:abstractNum w:abstractNumId="4">
    <w:nsid w:val="2A23BC07"/>
    <w:multiLevelType w:val="singleLevel"/>
    <w:tmpl w:val="2A23BC07"/>
    <w:lvl w:ilvl="0" w:tentative="0">
      <w:start w:val="1"/>
      <w:numFmt w:val="chineseCounting"/>
      <w:suff w:val="nothing"/>
      <w:lvlText w:val="（%1）"/>
      <w:lvlJc w:val="left"/>
      <w:rPr>
        <w:rFonts w:hint="eastAsia"/>
      </w:rPr>
    </w:lvl>
  </w:abstractNum>
  <w:abstractNum w:abstractNumId="5">
    <w:nsid w:val="57356DAE"/>
    <w:multiLevelType w:val="singleLevel"/>
    <w:tmpl w:val="57356DAE"/>
    <w:lvl w:ilvl="0" w:tentative="0">
      <w:start w:val="9"/>
      <w:numFmt w:val="chineseCounting"/>
      <w:suff w:val="nothing"/>
      <w:lvlText w:val="%1、"/>
      <w:lvlJc w:val="left"/>
      <w:rPr>
        <w:rFonts w:hint="eastAsia"/>
      </w:rPr>
    </w:lvl>
  </w:abstractNum>
  <w:abstractNum w:abstractNumId="6">
    <w:nsid w:val="5BA6972C"/>
    <w:multiLevelType w:val="singleLevel"/>
    <w:tmpl w:val="5BA6972C"/>
    <w:lvl w:ilvl="0" w:tentative="0">
      <w:start w:val="5"/>
      <w:numFmt w:val="chineseCounting"/>
      <w:suff w:val="nothing"/>
      <w:lvlText w:val="%1、"/>
      <w:lvlJc w:val="left"/>
      <w:rPr>
        <w:rFonts w:hint="eastAsia"/>
      </w:rPr>
    </w:lvl>
  </w:abstractNum>
  <w:abstractNum w:abstractNumId="7">
    <w:nsid w:val="6D7B927C"/>
    <w:multiLevelType w:val="singleLevel"/>
    <w:tmpl w:val="6D7B927C"/>
    <w:lvl w:ilvl="0" w:tentative="0">
      <w:start w:val="1"/>
      <w:numFmt w:val="decimal"/>
      <w:lvlText w:val="%1."/>
      <w:lvlJc w:val="left"/>
      <w:pPr>
        <w:tabs>
          <w:tab w:val="left" w:pos="312"/>
        </w:tabs>
      </w:pPr>
    </w:lvl>
  </w:abstractNum>
  <w:abstractNum w:abstractNumId="8">
    <w:nsid w:val="7ED099D4"/>
    <w:multiLevelType w:val="singleLevel"/>
    <w:tmpl w:val="7ED099D4"/>
    <w:lvl w:ilvl="0" w:tentative="0">
      <w:start w:val="1"/>
      <w:numFmt w:val="decimal"/>
      <w:lvlText w:val="%1."/>
      <w:lvlJc w:val="left"/>
      <w:pPr>
        <w:tabs>
          <w:tab w:val="left" w:pos="312"/>
        </w:tabs>
      </w:pPr>
    </w:lvl>
  </w:abstractNum>
  <w:num w:numId="1">
    <w:abstractNumId w:val="0"/>
  </w:num>
  <w:num w:numId="2">
    <w:abstractNumId w:val="4"/>
  </w:num>
  <w:num w:numId="3">
    <w:abstractNumId w:val="1"/>
  </w:num>
  <w:num w:numId="4">
    <w:abstractNumId w:val="7"/>
  </w:num>
  <w:num w:numId="5">
    <w:abstractNumId w:val="2"/>
  </w:num>
  <w:num w:numId="6">
    <w:abstractNumId w:val="8"/>
  </w:num>
  <w:num w:numId="7">
    <w:abstractNumId w:val="6"/>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Q2YjBmMWY4NmM1Mjk2MDM0YWY5YWIxNmYzZmNiMGMifQ=="/>
    <w:docVar w:name="KSO_WPS_MARK_KEY" w:val="c4e82050-49f6-4d69-875a-02180592cf3a"/>
  </w:docVars>
  <w:rsids>
    <w:rsidRoot w:val="2D276405"/>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46A3A"/>
    <w:rsid w:val="00175FB5"/>
    <w:rsid w:val="00180B79"/>
    <w:rsid w:val="001B6CE5"/>
    <w:rsid w:val="001B77EB"/>
    <w:rsid w:val="001C2D0D"/>
    <w:rsid w:val="001C7F18"/>
    <w:rsid w:val="001E24DF"/>
    <w:rsid w:val="00236E56"/>
    <w:rsid w:val="0024285D"/>
    <w:rsid w:val="0024605A"/>
    <w:rsid w:val="00254379"/>
    <w:rsid w:val="0025646E"/>
    <w:rsid w:val="00256E2B"/>
    <w:rsid w:val="00257929"/>
    <w:rsid w:val="00283618"/>
    <w:rsid w:val="002866D3"/>
    <w:rsid w:val="00291611"/>
    <w:rsid w:val="00293859"/>
    <w:rsid w:val="002B729E"/>
    <w:rsid w:val="002C3F12"/>
    <w:rsid w:val="002C5955"/>
    <w:rsid w:val="002D2D69"/>
    <w:rsid w:val="002D35C9"/>
    <w:rsid w:val="002E5D4E"/>
    <w:rsid w:val="002E75E6"/>
    <w:rsid w:val="002F4B15"/>
    <w:rsid w:val="00315D23"/>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63F44"/>
    <w:rsid w:val="00563FA7"/>
    <w:rsid w:val="00564686"/>
    <w:rsid w:val="005735A7"/>
    <w:rsid w:val="0057602E"/>
    <w:rsid w:val="00577132"/>
    <w:rsid w:val="00582729"/>
    <w:rsid w:val="005A700E"/>
    <w:rsid w:val="005B708F"/>
    <w:rsid w:val="005D7110"/>
    <w:rsid w:val="005F05C9"/>
    <w:rsid w:val="00603C22"/>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7C40"/>
    <w:rsid w:val="00FA7642"/>
    <w:rsid w:val="00FC2753"/>
    <w:rsid w:val="00FC6B31"/>
    <w:rsid w:val="00FD0E2D"/>
    <w:rsid w:val="00FD7241"/>
    <w:rsid w:val="00FE1860"/>
    <w:rsid w:val="00FE6999"/>
    <w:rsid w:val="011D4067"/>
    <w:rsid w:val="03D96B0A"/>
    <w:rsid w:val="04F36FCB"/>
    <w:rsid w:val="06264DD4"/>
    <w:rsid w:val="071F59E5"/>
    <w:rsid w:val="0A71587A"/>
    <w:rsid w:val="0B4B3EED"/>
    <w:rsid w:val="11232B26"/>
    <w:rsid w:val="13C6123F"/>
    <w:rsid w:val="13E9022F"/>
    <w:rsid w:val="152B70E8"/>
    <w:rsid w:val="15D56A42"/>
    <w:rsid w:val="169325B8"/>
    <w:rsid w:val="172F601F"/>
    <w:rsid w:val="1761002E"/>
    <w:rsid w:val="17735D8C"/>
    <w:rsid w:val="18493218"/>
    <w:rsid w:val="18BA29FE"/>
    <w:rsid w:val="19314B52"/>
    <w:rsid w:val="1A12304C"/>
    <w:rsid w:val="1E0C36DB"/>
    <w:rsid w:val="2392755E"/>
    <w:rsid w:val="240A703C"/>
    <w:rsid w:val="25815C06"/>
    <w:rsid w:val="273677B9"/>
    <w:rsid w:val="29790743"/>
    <w:rsid w:val="2D276405"/>
    <w:rsid w:val="2E7B7787"/>
    <w:rsid w:val="2EC67871"/>
    <w:rsid w:val="2F6A77B8"/>
    <w:rsid w:val="30611F0A"/>
    <w:rsid w:val="317D4E81"/>
    <w:rsid w:val="32052760"/>
    <w:rsid w:val="33670DA7"/>
    <w:rsid w:val="33BD324E"/>
    <w:rsid w:val="34710AAF"/>
    <w:rsid w:val="34824E2A"/>
    <w:rsid w:val="3A9340B4"/>
    <w:rsid w:val="3CCF5D67"/>
    <w:rsid w:val="3DD96F86"/>
    <w:rsid w:val="3EBC5DDD"/>
    <w:rsid w:val="3FF42CA8"/>
    <w:rsid w:val="42893D02"/>
    <w:rsid w:val="44883AC1"/>
    <w:rsid w:val="44890655"/>
    <w:rsid w:val="47DB4379"/>
    <w:rsid w:val="489268FC"/>
    <w:rsid w:val="49564CEF"/>
    <w:rsid w:val="4CCD5FB7"/>
    <w:rsid w:val="4E053309"/>
    <w:rsid w:val="53596C0B"/>
    <w:rsid w:val="54484F74"/>
    <w:rsid w:val="54A518C5"/>
    <w:rsid w:val="562A3B61"/>
    <w:rsid w:val="565076BF"/>
    <w:rsid w:val="575F1A59"/>
    <w:rsid w:val="59B04FCC"/>
    <w:rsid w:val="59C37894"/>
    <w:rsid w:val="5A502305"/>
    <w:rsid w:val="5A63129F"/>
    <w:rsid w:val="5ADE57B1"/>
    <w:rsid w:val="5BCF6EC1"/>
    <w:rsid w:val="5E8A4E8C"/>
    <w:rsid w:val="5F2B2A77"/>
    <w:rsid w:val="66CE5DBC"/>
    <w:rsid w:val="685B2491"/>
    <w:rsid w:val="694C5B6A"/>
    <w:rsid w:val="6C932E12"/>
    <w:rsid w:val="6D695A44"/>
    <w:rsid w:val="6E8A7606"/>
    <w:rsid w:val="6F712207"/>
    <w:rsid w:val="70D22201"/>
    <w:rsid w:val="726C71D7"/>
    <w:rsid w:val="7388772D"/>
    <w:rsid w:val="76AA6A38"/>
    <w:rsid w:val="79363CA6"/>
    <w:rsid w:val="79867B4E"/>
    <w:rsid w:val="7AA3575A"/>
    <w:rsid w:val="7B9D0C9C"/>
    <w:rsid w:val="7BB35BD5"/>
    <w:rsid w:val="7C482314"/>
    <w:rsid w:val="7D7E6007"/>
    <w:rsid w:val="7DA56B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19"/>
    <w:qFormat/>
    <w:uiPriority w:val="0"/>
    <w:pPr>
      <w:keepNext/>
      <w:keepLines/>
      <w:spacing w:before="340" w:after="330" w:line="578" w:lineRule="auto"/>
      <w:outlineLvl w:val="0"/>
    </w:pPr>
    <w:rPr>
      <w:rFonts w:eastAsia="黑体"/>
      <w:b/>
      <w:bCs/>
      <w:kern w:val="44"/>
      <w:sz w:val="32"/>
      <w:szCs w:val="44"/>
    </w:rPr>
  </w:style>
  <w:style w:type="paragraph" w:styleId="3">
    <w:name w:val="heading 2"/>
    <w:basedOn w:val="1"/>
    <w:next w:val="1"/>
    <w:link w:val="20"/>
    <w:qFormat/>
    <w:uiPriority w:val="9"/>
    <w:pPr>
      <w:keepNext/>
      <w:keepLines/>
      <w:spacing w:before="260" w:after="260" w:line="440" w:lineRule="exact"/>
      <w:outlineLvl w:val="1"/>
    </w:pPr>
    <w:rPr>
      <w:b/>
      <w:bCs/>
      <w:szCs w:val="32"/>
    </w:rPr>
  </w:style>
  <w:style w:type="paragraph" w:styleId="4">
    <w:name w:val="heading 3"/>
    <w:basedOn w:val="1"/>
    <w:next w:val="1"/>
    <w:link w:val="21"/>
    <w:qFormat/>
    <w:uiPriority w:val="9"/>
    <w:pPr>
      <w:keepNext/>
      <w:keepLines/>
      <w:spacing w:before="260" w:after="260" w:line="360" w:lineRule="exact"/>
      <w:outlineLvl w:val="2"/>
    </w:pPr>
    <w:rPr>
      <w:bCs/>
      <w:szCs w:val="32"/>
    </w:rPr>
  </w:style>
  <w:style w:type="paragraph" w:styleId="5">
    <w:name w:val="heading 4"/>
    <w:basedOn w:val="1"/>
    <w:next w:val="1"/>
    <w:link w:val="22"/>
    <w:qFormat/>
    <w:uiPriority w:val="9"/>
    <w:pPr>
      <w:keepNext/>
      <w:keepLines/>
      <w:spacing w:before="280" w:after="290" w:line="376" w:lineRule="auto"/>
      <w:outlineLvl w:val="3"/>
    </w:pPr>
    <w:rPr>
      <w:rFonts w:ascii="Cambria" w:hAnsi="Cambria"/>
      <w:b/>
      <w:bCs/>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6">
    <w:name w:val="toc 3"/>
    <w:basedOn w:val="1"/>
    <w:next w:val="1"/>
    <w:qFormat/>
    <w:uiPriority w:val="39"/>
    <w:pPr>
      <w:ind w:left="840" w:leftChars="400"/>
    </w:pPr>
  </w:style>
  <w:style w:type="paragraph" w:styleId="7">
    <w:name w:val="Balloon Text"/>
    <w:basedOn w:val="1"/>
    <w:link w:val="18"/>
    <w:qFormat/>
    <w:uiPriority w:val="0"/>
    <w:rPr>
      <w:sz w:val="18"/>
      <w:szCs w:val="18"/>
    </w:rPr>
  </w:style>
  <w:style w:type="paragraph" w:styleId="8">
    <w:name w:val="footer"/>
    <w:basedOn w:val="1"/>
    <w:link w:val="29"/>
    <w:unhideWhenUsed/>
    <w:qFormat/>
    <w:uiPriority w:val="99"/>
    <w:pPr>
      <w:tabs>
        <w:tab w:val="center" w:pos="4153"/>
        <w:tab w:val="right" w:pos="8306"/>
      </w:tabs>
      <w:snapToGrid w:val="0"/>
      <w:jc w:val="left"/>
    </w:pPr>
    <w:rPr>
      <w:sz w:val="18"/>
      <w:szCs w:val="18"/>
    </w:rPr>
  </w:style>
  <w:style w:type="paragraph" w:styleId="9">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unhideWhenUsed/>
    <w:qFormat/>
    <w:uiPriority w:val="39"/>
    <w:pPr>
      <w:spacing w:before="120" w:after="120"/>
      <w:jc w:val="left"/>
    </w:pPr>
    <w:rPr>
      <w:b/>
      <w:bCs/>
      <w:caps/>
      <w:szCs w:val="20"/>
    </w:rPr>
  </w:style>
  <w:style w:type="paragraph" w:styleId="11">
    <w:name w:val="table of figures"/>
    <w:basedOn w:val="1"/>
    <w:next w:val="1"/>
    <w:qFormat/>
    <w:uiPriority w:val="0"/>
    <w:pPr>
      <w:ind w:left="200" w:leftChars="200" w:hanging="200" w:hangingChars="200"/>
    </w:pPr>
  </w:style>
  <w:style w:type="paragraph" w:styleId="12">
    <w:name w:val="toc 2"/>
    <w:basedOn w:val="1"/>
    <w:next w:val="1"/>
    <w:unhideWhenUsed/>
    <w:qFormat/>
    <w:uiPriority w:val="39"/>
    <w:pPr>
      <w:ind w:left="210"/>
      <w:jc w:val="left"/>
    </w:pPr>
    <w:rPr>
      <w:smallCaps/>
      <w:sz w:val="24"/>
      <w:szCs w:val="20"/>
    </w:rPr>
  </w:style>
  <w:style w:type="table" w:styleId="14">
    <w:name w:val="Table Grid"/>
    <w:basedOn w:val="13"/>
    <w:qFormat/>
    <w:uiPriority w:val="0"/>
    <w:pPr>
      <w:keepNext w:val="0"/>
      <w:keepLines w:val="0"/>
      <w:widowControl w:val="0"/>
      <w:suppressLineNumbers w:val="0"/>
      <w:spacing w:before="0" w:beforeAutospacing="0" w:after="0" w:afterAutospacing="0"/>
      <w:ind w:left="0" w:right="0"/>
      <w:jc w:val="both"/>
    </w:pPr>
    <w:rPr>
      <w:rFonts w:hint="default" w:ascii="Times New Roman" w:hAnsi="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 w:type="character" w:styleId="16">
    <w:name w:val="Strong"/>
    <w:basedOn w:val="15"/>
    <w:qFormat/>
    <w:uiPriority w:val="0"/>
    <w:rPr>
      <w:b/>
    </w:rPr>
  </w:style>
  <w:style w:type="character" w:styleId="17">
    <w:name w:val="Hyperlink"/>
    <w:unhideWhenUsed/>
    <w:qFormat/>
    <w:uiPriority w:val="99"/>
    <w:rPr>
      <w:color w:val="0000FF"/>
      <w:u w:val="single"/>
    </w:rPr>
  </w:style>
  <w:style w:type="character" w:customStyle="1" w:styleId="18">
    <w:name w:val="批注框文本 字符"/>
    <w:basedOn w:val="15"/>
    <w:link w:val="7"/>
    <w:qFormat/>
    <w:uiPriority w:val="0"/>
    <w:rPr>
      <w:rFonts w:ascii="Calibri" w:hAnsi="Calibri"/>
      <w:kern w:val="2"/>
      <w:sz w:val="18"/>
      <w:szCs w:val="18"/>
    </w:rPr>
  </w:style>
  <w:style w:type="character" w:customStyle="1" w:styleId="19">
    <w:name w:val="标题 1 字符"/>
    <w:basedOn w:val="15"/>
    <w:link w:val="2"/>
    <w:qFormat/>
    <w:uiPriority w:val="0"/>
    <w:rPr>
      <w:rFonts w:ascii="Calibri" w:hAnsi="Calibri" w:eastAsia="黑体"/>
      <w:b/>
      <w:bCs/>
      <w:kern w:val="44"/>
      <w:sz w:val="32"/>
      <w:szCs w:val="44"/>
    </w:rPr>
  </w:style>
  <w:style w:type="character" w:customStyle="1" w:styleId="20">
    <w:name w:val="标题 2 字符"/>
    <w:basedOn w:val="15"/>
    <w:link w:val="3"/>
    <w:qFormat/>
    <w:uiPriority w:val="9"/>
    <w:rPr>
      <w:rFonts w:ascii="Times New Roman" w:hAnsi="Times New Roman" w:eastAsia="仿宋_GB2312"/>
      <w:b/>
      <w:bCs/>
      <w:kern w:val="2"/>
      <w:sz w:val="28"/>
      <w:szCs w:val="32"/>
    </w:rPr>
  </w:style>
  <w:style w:type="character" w:customStyle="1" w:styleId="21">
    <w:name w:val="标题 3 字符"/>
    <w:basedOn w:val="15"/>
    <w:link w:val="4"/>
    <w:qFormat/>
    <w:uiPriority w:val="9"/>
    <w:rPr>
      <w:rFonts w:ascii="Calibri" w:hAnsi="Calibri" w:eastAsia="仿宋_GB2312"/>
      <w:bCs/>
      <w:kern w:val="2"/>
      <w:sz w:val="28"/>
      <w:szCs w:val="32"/>
    </w:rPr>
  </w:style>
  <w:style w:type="character" w:customStyle="1" w:styleId="22">
    <w:name w:val="标题 4 字符"/>
    <w:basedOn w:val="15"/>
    <w:link w:val="5"/>
    <w:qFormat/>
    <w:uiPriority w:val="9"/>
    <w:rPr>
      <w:rFonts w:ascii="Cambria" w:hAnsi="Cambria"/>
      <w:b/>
      <w:bCs/>
      <w:kern w:val="2"/>
      <w:sz w:val="28"/>
      <w:szCs w:val="28"/>
    </w:rPr>
  </w:style>
  <w:style w:type="paragraph" w:customStyle="1" w:styleId="23">
    <w:name w:val="TOC 标题1"/>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4">
    <w:name w:val="WPSOffice手动目录 1"/>
    <w:qFormat/>
    <w:uiPriority w:val="0"/>
    <w:rPr>
      <w:rFonts w:ascii="Times New Roman" w:hAnsi="Times New Roman" w:eastAsia="宋体" w:cs="Times New Roman"/>
      <w:lang w:val="en-US" w:eastAsia="zh-CN" w:bidi="ar-SA"/>
    </w:rPr>
  </w:style>
  <w:style w:type="paragraph" w:customStyle="1" w:styleId="25">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26">
    <w:name w:val="style41"/>
    <w:basedOn w:val="15"/>
    <w:qFormat/>
    <w:uiPriority w:val="0"/>
    <w:rPr>
      <w:sz w:val="18"/>
    </w:rPr>
  </w:style>
  <w:style w:type="paragraph" w:customStyle="1" w:styleId="27">
    <w:name w:val="msolistparagraph"/>
    <w:basedOn w:val="1"/>
    <w:qFormat/>
    <w:uiPriority w:val="0"/>
    <w:pPr>
      <w:ind w:firstLine="420"/>
    </w:pPr>
    <w:rPr>
      <w:rFonts w:ascii="Calibri" w:hAnsi="Calibri" w:eastAsia="宋体"/>
      <w:sz w:val="21"/>
    </w:rPr>
  </w:style>
  <w:style w:type="paragraph" w:customStyle="1" w:styleId="28">
    <w:name w:val="Table Paragraph"/>
    <w:basedOn w:val="1"/>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29">
    <w:name w:val="页脚 字符"/>
    <w:basedOn w:val="15"/>
    <w:link w:val="8"/>
    <w:qFormat/>
    <w:uiPriority w:val="99"/>
    <w:rPr>
      <w:rFonts w:eastAsia="仿宋_GB2312"/>
      <w:kern w:val="2"/>
      <w:sz w:val="18"/>
      <w:szCs w:val="18"/>
    </w:rPr>
  </w:style>
  <w:style w:type="character" w:customStyle="1" w:styleId="30">
    <w:name w:val="页眉 字符"/>
    <w:basedOn w:val="15"/>
    <w:link w:val="9"/>
    <w:qFormat/>
    <w:uiPriority w:val="99"/>
    <w:rPr>
      <w:rFonts w:eastAsia="仿宋_GB2312"/>
      <w:kern w:val="2"/>
      <w:sz w:val="18"/>
      <w:szCs w:val="18"/>
    </w:rPr>
  </w:style>
  <w:style w:type="paragraph" w:styleId="31">
    <w:name w:val="List Paragraph"/>
    <w:basedOn w:val="1"/>
    <w:qFormat/>
    <w:uiPriority w:val="99"/>
    <w:pPr>
      <w:ind w:firstLine="42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numbering" Target="numbering.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3E636E-9AED-417C-BF79-032C6A13973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52</Pages>
  <Words>13902</Words>
  <Characters>14052</Characters>
  <Lines>15</Lines>
  <Paragraphs>5</Paragraphs>
  <TotalTime>7</TotalTime>
  <ScaleCrop>false</ScaleCrop>
  <LinksUpToDate>false</LinksUpToDate>
  <CharactersWithSpaces>14151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2024-07-04T08:12:00Z</dcterms:created>
  <dc:creator>玄冰石</dc:creator>
  <cp:lastModifiedBy>小熏.</cp:lastModifiedBy>
  <cp:lastPrinted>2024-07-02T05:20:00Z</cp:lastPrinted>
  <dcterms:modified xsi:type="dcterms:W3CDTF">2025-08-18T07:58:04Z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74D85C4984144724AD9DA142B9184FE5_13</vt:lpwstr>
  </property>
  <property fmtid="{D5CDD505-2E9C-101B-9397-08002B2CF9AE}" pid="4" name="KSOTemplateDocerSaveRecord">
    <vt:lpwstr>eyJoZGlkIjoiODQ2YjBmMWY4NmM1Mjk2MDM0YWY5YWIxNmYzZmNiMGMiLCJ1c2VySWQiOiI3MjczMTY1MzIifQ==</vt:lpwstr>
  </property>
</Properties>
</file>