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C60185">
      <w:pPr>
        <w:widowControl/>
        <w:spacing w:line="240" w:lineRule="auto"/>
        <w:ind w:firstLine="0" w:firstLineChars="0"/>
        <w:rPr>
          <w:rFonts w:eastAsia="方正流行体简体"/>
          <w:spacing w:val="-10"/>
          <w:sz w:val="60"/>
          <w:szCs w:val="60"/>
        </w:rPr>
      </w:pPr>
      <w:r>
        <w:rPr>
          <w:rFonts w:hint="eastAsia" w:eastAsia="方正流行体简体"/>
          <w:spacing w:val="-10"/>
          <w:sz w:val="60"/>
          <w:szCs w:val="60"/>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a:stretch>
                      <a:fillRect/>
                    </a:stretch>
                  </pic:blipFill>
                  <pic:spPr>
                    <a:xfrm>
                      <a:off x="0" y="0"/>
                      <a:ext cx="5267325" cy="1393825"/>
                    </a:xfrm>
                    <a:prstGeom prst="rect">
                      <a:avLst/>
                    </a:prstGeom>
                  </pic:spPr>
                </pic:pic>
              </a:graphicData>
            </a:graphic>
          </wp:inline>
        </w:drawing>
      </w:r>
    </w:p>
    <w:p w14:paraId="31AAA4B1">
      <w:pPr>
        <w:spacing w:line="240" w:lineRule="auto"/>
        <w:ind w:firstLine="0" w:firstLineChars="0"/>
        <w:rPr>
          <w:rFonts w:ascii="隶书" w:eastAsia="隶书"/>
          <w:spacing w:val="-60"/>
          <w:sz w:val="32"/>
          <w:szCs w:val="32"/>
        </w:rPr>
      </w:pPr>
    </w:p>
    <w:p w14:paraId="5E98B8C6">
      <w:pPr>
        <w:spacing w:line="240" w:lineRule="auto"/>
        <w:ind w:firstLine="400"/>
        <w:rPr>
          <w:rFonts w:ascii="隶书" w:eastAsia="隶书"/>
          <w:spacing w:val="-60"/>
          <w:sz w:val="32"/>
          <w:szCs w:val="32"/>
        </w:rPr>
      </w:pPr>
    </w:p>
    <w:p w14:paraId="54377429">
      <w:pPr>
        <w:spacing w:line="240" w:lineRule="auto"/>
        <w:ind w:firstLine="0" w:firstLineChars="0"/>
        <w:jc w:val="center"/>
        <w:rPr>
          <w:rFonts w:hint="eastAsia" w:ascii="黑体" w:hAnsi="楷体" w:eastAsia="黑体"/>
          <w:b/>
          <w:sz w:val="60"/>
          <w:szCs w:val="60"/>
          <w:lang w:eastAsia="zh-CN"/>
        </w:rPr>
      </w:pPr>
      <w:r>
        <w:rPr>
          <w:rFonts w:hint="eastAsia" w:ascii="黑体" w:hAnsi="楷体" w:eastAsia="黑体"/>
          <w:b/>
          <w:sz w:val="72"/>
          <w:szCs w:val="72"/>
          <w:lang w:eastAsia="zh-CN"/>
        </w:rPr>
        <w:t>《</w:t>
      </w:r>
      <w:r>
        <w:rPr>
          <w:rFonts w:hint="eastAsia" w:ascii="黑体" w:hAnsi="楷体" w:eastAsia="黑体"/>
          <w:b/>
          <w:sz w:val="72"/>
          <w:szCs w:val="72"/>
          <w:lang w:val="en-US" w:eastAsia="zh-CN"/>
        </w:rPr>
        <w:t>管理学基础</w:t>
      </w:r>
      <w:r>
        <w:rPr>
          <w:rFonts w:hint="eastAsia" w:ascii="黑体" w:hAnsi="楷体" w:eastAsia="黑体"/>
          <w:b/>
          <w:sz w:val="72"/>
          <w:szCs w:val="72"/>
          <w:lang w:eastAsia="zh-CN"/>
        </w:rPr>
        <w:t>》</w:t>
      </w:r>
    </w:p>
    <w:p w14:paraId="0EEA0C73">
      <w:pPr>
        <w:spacing w:line="240" w:lineRule="auto"/>
        <w:ind w:firstLine="0" w:firstLineChars="0"/>
        <w:jc w:val="center"/>
        <w:rPr>
          <w:sz w:val="24"/>
          <w:szCs w:val="21"/>
        </w:rPr>
      </w:pPr>
      <w:r>
        <w:rPr>
          <w:rFonts w:hint="eastAsia" w:ascii="黑体" w:hAnsi="楷体" w:eastAsia="黑体"/>
          <w:b/>
          <w:sz w:val="60"/>
          <w:szCs w:val="60"/>
        </w:rPr>
        <w:t>课程标准</w:t>
      </w:r>
    </w:p>
    <w:p w14:paraId="3CCDDB03">
      <w:pPr>
        <w:ind w:firstLine="560"/>
      </w:pPr>
    </w:p>
    <w:p w14:paraId="3F6694B3">
      <w:pPr>
        <w:ind w:firstLine="0" w:firstLineChars="0"/>
      </w:pPr>
    </w:p>
    <w:tbl>
      <w:tblPr>
        <w:tblStyle w:val="14"/>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14:paraId="57F128B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42" w:hRule="atLeast"/>
        </w:trPr>
        <w:tc>
          <w:tcPr>
            <w:tcW w:w="1860" w:type="dxa"/>
            <w:tcBorders>
              <w:tl2br w:val="nil"/>
              <w:tr2bl w:val="nil"/>
            </w:tcBorders>
            <w:tcMar>
              <w:top w:w="28" w:type="dxa"/>
              <w:bottom w:w="28" w:type="dxa"/>
            </w:tcMar>
            <w:vAlign w:val="center"/>
          </w:tcPr>
          <w:p w14:paraId="6FFBB240">
            <w:pPr>
              <w:widowControl/>
              <w:adjustRightInd w:val="0"/>
              <w:snapToGrid w:val="0"/>
              <w:ind w:firstLine="0" w:firstLineChars="0"/>
              <w:jc w:val="center"/>
              <w:textAlignment w:val="center"/>
              <w:rPr>
                <w:rFonts w:cs="宋体"/>
                <w:sz w:val="24"/>
                <w:szCs w:val="24"/>
              </w:rPr>
            </w:pPr>
            <w:r>
              <w:rPr>
                <w:rFonts w:hint="eastAsia" w:cs="宋体"/>
                <w:sz w:val="24"/>
                <w:szCs w:val="24"/>
              </w:rPr>
              <w:t>课程负责人</w:t>
            </w:r>
          </w:p>
          <w:p w14:paraId="715DF50D">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208" w:type="dxa"/>
            <w:tcBorders>
              <w:tl2br w:val="nil"/>
              <w:tr2bl w:val="nil"/>
            </w:tcBorders>
            <w:tcMar>
              <w:top w:w="28" w:type="dxa"/>
              <w:bottom w:w="28" w:type="dxa"/>
            </w:tcMar>
            <w:vAlign w:val="center"/>
          </w:tcPr>
          <w:p w14:paraId="05297EDC">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198551DD">
            <w:pPr>
              <w:widowControl/>
              <w:adjustRightInd w:val="0"/>
              <w:snapToGrid w:val="0"/>
              <w:ind w:firstLine="0" w:firstLineChars="0"/>
              <w:jc w:val="center"/>
              <w:textAlignment w:val="center"/>
              <w:rPr>
                <w:rFonts w:cs="宋体"/>
                <w:sz w:val="24"/>
                <w:szCs w:val="24"/>
              </w:rPr>
            </w:pPr>
            <w:r>
              <w:rPr>
                <w:rFonts w:hint="eastAsia" w:cs="宋体"/>
                <w:sz w:val="24"/>
                <w:szCs w:val="24"/>
              </w:rPr>
              <w:t>教研组组长</w:t>
            </w:r>
          </w:p>
          <w:p w14:paraId="744F26ED">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647" w:type="dxa"/>
            <w:tcBorders>
              <w:tl2br w:val="nil"/>
              <w:tr2bl w:val="nil"/>
            </w:tcBorders>
            <w:tcMar>
              <w:top w:w="28" w:type="dxa"/>
              <w:bottom w:w="28" w:type="dxa"/>
            </w:tcMar>
            <w:vAlign w:val="center"/>
          </w:tcPr>
          <w:p w14:paraId="34FF9281">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r w14:paraId="3E535D9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21" w:hRule="atLeast"/>
        </w:trPr>
        <w:tc>
          <w:tcPr>
            <w:tcW w:w="1860" w:type="dxa"/>
            <w:tcBorders>
              <w:tl2br w:val="nil"/>
              <w:tr2bl w:val="nil"/>
            </w:tcBorders>
            <w:tcMar>
              <w:top w:w="28" w:type="dxa"/>
              <w:bottom w:w="28" w:type="dxa"/>
            </w:tcMar>
            <w:vAlign w:val="center"/>
          </w:tcPr>
          <w:p w14:paraId="6BD726FF">
            <w:pPr>
              <w:widowControl/>
              <w:adjustRightInd w:val="0"/>
              <w:snapToGrid w:val="0"/>
              <w:ind w:firstLine="0" w:firstLineChars="0"/>
              <w:jc w:val="center"/>
              <w:textAlignment w:val="center"/>
              <w:rPr>
                <w:sz w:val="24"/>
                <w:szCs w:val="24"/>
              </w:rPr>
            </w:pPr>
            <w:r>
              <w:rPr>
                <w:rFonts w:hint="eastAsia"/>
                <w:sz w:val="24"/>
                <w:szCs w:val="24"/>
              </w:rPr>
              <w:t>教学单位</w:t>
            </w:r>
          </w:p>
          <w:p w14:paraId="47DD874D">
            <w:pPr>
              <w:widowControl/>
              <w:adjustRightInd w:val="0"/>
              <w:snapToGrid w:val="0"/>
              <w:ind w:firstLine="0" w:firstLineChars="0"/>
              <w:jc w:val="center"/>
              <w:textAlignment w:val="center"/>
              <w:rPr>
                <w:rFonts w:eastAsia="宋体"/>
                <w:sz w:val="24"/>
                <w:szCs w:val="24"/>
              </w:rPr>
            </w:pPr>
            <w:r>
              <w:rPr>
                <w:rFonts w:hint="eastAsia"/>
                <w:sz w:val="24"/>
                <w:szCs w:val="24"/>
              </w:rPr>
              <w:t>负责人审核</w:t>
            </w:r>
          </w:p>
        </w:tc>
        <w:tc>
          <w:tcPr>
            <w:tcW w:w="2208" w:type="dxa"/>
            <w:tcBorders>
              <w:tl2br w:val="nil"/>
              <w:tr2bl w:val="nil"/>
            </w:tcBorders>
            <w:tcMar>
              <w:top w:w="28" w:type="dxa"/>
              <w:bottom w:w="28" w:type="dxa"/>
            </w:tcMar>
            <w:vAlign w:val="center"/>
          </w:tcPr>
          <w:p w14:paraId="777D64FF">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1488AC16">
            <w:pPr>
              <w:widowControl/>
              <w:adjustRightInd w:val="0"/>
              <w:snapToGrid w:val="0"/>
              <w:ind w:firstLine="0" w:firstLineChars="0"/>
              <w:jc w:val="center"/>
              <w:textAlignment w:val="center"/>
              <w:rPr>
                <w:rFonts w:cs="宋体"/>
                <w:sz w:val="24"/>
                <w:szCs w:val="24"/>
              </w:rPr>
            </w:pPr>
            <w:r>
              <w:rPr>
                <w:rFonts w:hint="eastAsia" w:cs="宋体"/>
                <w:sz w:val="24"/>
                <w:szCs w:val="24"/>
              </w:rPr>
              <w:t>教学管理部</w:t>
            </w:r>
          </w:p>
          <w:p w14:paraId="64F69107">
            <w:pPr>
              <w:widowControl/>
              <w:adjustRightInd w:val="0"/>
              <w:snapToGrid w:val="0"/>
              <w:ind w:firstLine="0" w:firstLineChars="0"/>
              <w:jc w:val="center"/>
              <w:textAlignment w:val="center"/>
              <w:rPr>
                <w:rFonts w:eastAsia="宋体"/>
                <w:sz w:val="24"/>
                <w:szCs w:val="24"/>
              </w:rPr>
            </w:pPr>
            <w:r>
              <w:rPr>
                <w:rFonts w:hint="eastAsia" w:cs="宋体"/>
                <w:sz w:val="24"/>
                <w:szCs w:val="24"/>
              </w:rPr>
              <w:t>负责人审核</w:t>
            </w:r>
          </w:p>
        </w:tc>
        <w:tc>
          <w:tcPr>
            <w:tcW w:w="2647" w:type="dxa"/>
            <w:tcBorders>
              <w:tl2br w:val="nil"/>
              <w:tr2bl w:val="nil"/>
            </w:tcBorders>
            <w:tcMar>
              <w:top w:w="28" w:type="dxa"/>
              <w:bottom w:w="28" w:type="dxa"/>
            </w:tcMar>
            <w:vAlign w:val="center"/>
          </w:tcPr>
          <w:p w14:paraId="568094B5">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bl>
    <w:p w14:paraId="3ED0F110">
      <w:pPr>
        <w:ind w:firstLine="0" w:firstLineChars="0"/>
      </w:pPr>
    </w:p>
    <w:p w14:paraId="383B31E2">
      <w:pPr>
        <w:snapToGrid w:val="0"/>
        <w:spacing w:line="360" w:lineRule="auto"/>
        <w:ind w:firstLine="720"/>
        <w:jc w:val="center"/>
        <w:rPr>
          <w:rFonts w:ascii="宋体" w:hAnsi="宋体" w:cs="宋体"/>
          <w:b/>
          <w:bCs/>
          <w:kern w:val="36"/>
          <w:sz w:val="36"/>
          <w:szCs w:val="36"/>
        </w:rPr>
      </w:pPr>
    </w:p>
    <w:p w14:paraId="36D1D6E4">
      <w:pPr>
        <w:snapToGrid w:val="0"/>
        <w:spacing w:line="360" w:lineRule="auto"/>
        <w:ind w:left="0" w:leftChars="0" w:firstLine="0" w:firstLineChars="0"/>
        <w:jc w:val="center"/>
        <w:rPr>
          <w:b/>
          <w:bCs/>
          <w:kern w:val="36"/>
          <w:sz w:val="36"/>
          <w:szCs w:val="36"/>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r>
        <w:rPr>
          <w:kern w:val="36"/>
          <w:sz w:val="36"/>
          <w:szCs w:val="36"/>
        </w:rPr>
        <w:t>202</w:t>
      </w:r>
      <w:r>
        <w:rPr>
          <w:rFonts w:hint="eastAsia"/>
          <w:kern w:val="36"/>
          <w:sz w:val="36"/>
          <w:szCs w:val="36"/>
          <w:lang w:val="en-US" w:eastAsia="zh-CN"/>
        </w:rPr>
        <w:t>5</w:t>
      </w:r>
      <w:r>
        <w:rPr>
          <w:b/>
          <w:bCs/>
          <w:kern w:val="36"/>
          <w:sz w:val="36"/>
          <w:szCs w:val="36"/>
        </w:rPr>
        <w:t>年</w:t>
      </w:r>
      <w:r>
        <w:rPr>
          <w:rFonts w:hint="eastAsia"/>
          <w:b/>
          <w:bCs/>
          <w:kern w:val="36"/>
          <w:sz w:val="36"/>
          <w:szCs w:val="36"/>
          <w:lang w:val="en-US" w:eastAsia="zh-CN"/>
        </w:rPr>
        <w:t>5</w:t>
      </w:r>
      <w:r>
        <w:rPr>
          <w:b/>
          <w:bCs/>
          <w:kern w:val="36"/>
          <w:sz w:val="36"/>
          <w:szCs w:val="36"/>
        </w:rPr>
        <w:t>月</w:t>
      </w:r>
    </w:p>
    <w:sdt>
      <w:sdtPr>
        <w:rPr>
          <w:rFonts w:ascii="宋体" w:hAnsi="宋体" w:eastAsia="宋体"/>
          <w:sz w:val="21"/>
        </w:rPr>
        <w:id w:val="147451310"/>
        <w15:color w:val="DBDBDB"/>
        <w:docPartObj>
          <w:docPartGallery w:val="Table of Contents"/>
          <w:docPartUnique/>
        </w:docPartObj>
      </w:sdtPr>
      <w:sdtEndPr>
        <w:rPr>
          <w:rFonts w:hint="eastAsia" w:ascii="宋体" w:hAnsi="宋体" w:eastAsia="宋体" w:cs="宋体"/>
          <w:bCs/>
          <w:kern w:val="36"/>
          <w:sz w:val="21"/>
          <w:szCs w:val="36"/>
        </w:rPr>
      </w:sdtEndPr>
      <w:sdtContent>
        <w:p w14:paraId="78D18813">
          <w:pPr>
            <w:keepNext w:val="0"/>
            <w:keepLines w:val="0"/>
            <w:pageBreakBefore w:val="0"/>
            <w:widowControl w:val="0"/>
            <w:kinsoku/>
            <w:wordWrap/>
            <w:overflowPunct/>
            <w:topLinePunct w:val="0"/>
            <w:autoSpaceDE/>
            <w:autoSpaceDN/>
            <w:bidi w:val="0"/>
            <w:adjustRightInd/>
            <w:spacing w:line="400" w:lineRule="exact"/>
            <w:ind w:firstLine="0" w:firstLineChars="0"/>
            <w:jc w:val="center"/>
            <w:textAlignment w:val="auto"/>
            <w:rPr>
              <w:rFonts w:ascii="黑体" w:hAnsi="黑体" w:eastAsia="黑体" w:cs="黑体"/>
              <w:sz w:val="32"/>
              <w:szCs w:val="32"/>
            </w:rPr>
          </w:pPr>
          <w:r>
            <w:rPr>
              <w:rFonts w:hint="eastAsia" w:ascii="黑体" w:hAnsi="黑体" w:eastAsia="黑体" w:cs="黑体"/>
              <w:sz w:val="32"/>
              <w:szCs w:val="32"/>
            </w:rPr>
            <w:t>目  录</w:t>
          </w:r>
        </w:p>
        <w:p w14:paraId="6E27E9A4">
          <w:pPr>
            <w:pStyle w:val="11"/>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kern w:val="36"/>
              <w:sz w:val="21"/>
              <w:szCs w:val="36"/>
            </w:rPr>
            <w:fldChar w:fldCharType="begin"/>
          </w:r>
          <w:r>
            <w:rPr>
              <w:rFonts w:hint="eastAsia" w:ascii="宋体" w:hAnsi="宋体" w:eastAsia="宋体" w:cs="宋体"/>
              <w:kern w:val="36"/>
              <w:sz w:val="21"/>
              <w:szCs w:val="36"/>
            </w:rPr>
            <w:instrText xml:space="preserve">TOC \o "1-3" \h \u </w:instrText>
          </w:r>
          <w:r>
            <w:rPr>
              <w:rFonts w:hint="eastAsia" w:ascii="宋体" w:hAnsi="宋体" w:eastAsia="宋体" w:cs="宋体"/>
              <w:kern w:val="36"/>
              <w:sz w:val="21"/>
              <w:szCs w:val="36"/>
            </w:rPr>
            <w:fldChar w:fldCharType="separate"/>
          </w:r>
          <w:r>
            <w:rPr>
              <w:rFonts w:hint="eastAsia" w:ascii="宋体" w:hAnsi="宋体" w:eastAsia="宋体" w:cs="宋体"/>
              <w:kern w:val="36"/>
              <w:szCs w:val="36"/>
            </w:rPr>
            <w:fldChar w:fldCharType="begin"/>
          </w:r>
          <w:r>
            <w:rPr>
              <w:rFonts w:hint="eastAsia" w:ascii="宋体" w:hAnsi="宋体" w:eastAsia="宋体" w:cs="宋体"/>
              <w:kern w:val="36"/>
              <w:szCs w:val="36"/>
            </w:rPr>
            <w:instrText xml:space="preserve"> HYPERLINK \l _Toc11713 </w:instrText>
          </w:r>
          <w:r>
            <w:rPr>
              <w:rFonts w:hint="eastAsia" w:ascii="宋体" w:hAnsi="宋体" w:eastAsia="宋体" w:cs="宋体"/>
              <w:kern w:val="36"/>
              <w:szCs w:val="36"/>
            </w:rPr>
            <w:fldChar w:fldCharType="separate"/>
          </w:r>
          <w:r>
            <w:rPr>
              <w:rFonts w:hint="eastAsia"/>
            </w:rPr>
            <w:t>一、课程基本信息</w:t>
          </w:r>
          <w:r>
            <w:tab/>
          </w:r>
          <w:r>
            <w:fldChar w:fldCharType="begin"/>
          </w:r>
          <w:r>
            <w:instrText xml:space="preserve"> PAGEREF _Toc11713 \h </w:instrText>
          </w:r>
          <w:r>
            <w:fldChar w:fldCharType="separate"/>
          </w:r>
          <w:r>
            <w:t>1</w:t>
          </w:r>
          <w:r>
            <w:fldChar w:fldCharType="end"/>
          </w:r>
          <w:r>
            <w:rPr>
              <w:rFonts w:hint="eastAsia" w:ascii="宋体" w:hAnsi="宋体" w:eastAsia="宋体" w:cs="宋体"/>
              <w:kern w:val="36"/>
              <w:szCs w:val="36"/>
            </w:rPr>
            <w:fldChar w:fldCharType="end"/>
          </w:r>
        </w:p>
        <w:p w14:paraId="33812737">
          <w:pPr>
            <w:pStyle w:val="11"/>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_Toc20662 </w:instrText>
          </w:r>
          <w:r>
            <w:rPr>
              <w:rFonts w:hint="eastAsia" w:ascii="宋体" w:hAnsi="宋体" w:eastAsia="宋体" w:cs="宋体"/>
              <w:bCs/>
              <w:kern w:val="36"/>
              <w:szCs w:val="36"/>
            </w:rPr>
            <w:fldChar w:fldCharType="separate"/>
          </w:r>
          <w:r>
            <w:rPr>
              <w:rFonts w:hint="eastAsia"/>
            </w:rPr>
            <w:t>二、 课程任务</w:t>
          </w:r>
          <w:r>
            <w:tab/>
          </w:r>
          <w:r>
            <w:fldChar w:fldCharType="begin"/>
          </w:r>
          <w:r>
            <w:instrText xml:space="preserve"> PAGEREF _Toc20662 \h </w:instrText>
          </w:r>
          <w:r>
            <w:fldChar w:fldCharType="separate"/>
          </w:r>
          <w:r>
            <w:t>1</w:t>
          </w:r>
          <w:r>
            <w:fldChar w:fldCharType="end"/>
          </w:r>
          <w:r>
            <w:rPr>
              <w:rFonts w:hint="eastAsia" w:ascii="宋体" w:hAnsi="宋体" w:eastAsia="宋体" w:cs="宋体"/>
              <w:bCs/>
              <w:kern w:val="36"/>
              <w:szCs w:val="36"/>
            </w:rPr>
            <w:fldChar w:fldCharType="end"/>
          </w:r>
        </w:p>
        <w:p w14:paraId="1A652222">
          <w:pPr>
            <w:pStyle w:val="11"/>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_Toc32454 </w:instrText>
          </w:r>
          <w:r>
            <w:rPr>
              <w:rFonts w:hint="eastAsia" w:ascii="宋体" w:hAnsi="宋体" w:eastAsia="宋体" w:cs="宋体"/>
              <w:bCs/>
              <w:kern w:val="36"/>
              <w:szCs w:val="36"/>
            </w:rPr>
            <w:fldChar w:fldCharType="separate"/>
          </w:r>
          <w:r>
            <w:rPr>
              <w:rFonts w:hint="eastAsia"/>
            </w:rPr>
            <w:t>三、课程目标</w:t>
          </w:r>
          <w:r>
            <w:tab/>
          </w:r>
          <w:r>
            <w:fldChar w:fldCharType="begin"/>
          </w:r>
          <w:r>
            <w:instrText xml:space="preserve"> PAGEREF _Toc32454 \h </w:instrText>
          </w:r>
          <w:r>
            <w:fldChar w:fldCharType="separate"/>
          </w:r>
          <w:r>
            <w:t>2</w:t>
          </w:r>
          <w:r>
            <w:fldChar w:fldCharType="end"/>
          </w:r>
          <w:r>
            <w:rPr>
              <w:rFonts w:hint="eastAsia" w:ascii="宋体" w:hAnsi="宋体" w:eastAsia="宋体" w:cs="宋体"/>
              <w:bCs/>
              <w:kern w:val="36"/>
              <w:szCs w:val="36"/>
            </w:rPr>
            <w:fldChar w:fldCharType="end"/>
          </w:r>
        </w:p>
        <w:p w14:paraId="6424435F">
          <w:pPr>
            <w:pStyle w:val="13"/>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_Toc23227 </w:instrText>
          </w:r>
          <w:r>
            <w:rPr>
              <w:rFonts w:hint="eastAsia" w:ascii="宋体" w:hAnsi="宋体" w:eastAsia="宋体" w:cs="宋体"/>
              <w:bCs/>
              <w:kern w:val="36"/>
              <w:szCs w:val="36"/>
            </w:rPr>
            <w:fldChar w:fldCharType="separate"/>
          </w:r>
          <w:r>
            <w:rPr>
              <w:rFonts w:hint="eastAsia"/>
            </w:rPr>
            <w:t>（一） 素质目标</w:t>
          </w:r>
          <w:r>
            <w:tab/>
          </w:r>
          <w:r>
            <w:fldChar w:fldCharType="begin"/>
          </w:r>
          <w:r>
            <w:instrText xml:space="preserve"> PAGEREF _Toc23227 \h </w:instrText>
          </w:r>
          <w:r>
            <w:fldChar w:fldCharType="separate"/>
          </w:r>
          <w:r>
            <w:t>2</w:t>
          </w:r>
          <w:r>
            <w:fldChar w:fldCharType="end"/>
          </w:r>
          <w:r>
            <w:rPr>
              <w:rFonts w:hint="eastAsia" w:ascii="宋体" w:hAnsi="宋体" w:eastAsia="宋体" w:cs="宋体"/>
              <w:bCs/>
              <w:kern w:val="36"/>
              <w:szCs w:val="36"/>
            </w:rPr>
            <w:fldChar w:fldCharType="end"/>
          </w:r>
        </w:p>
        <w:p w14:paraId="37784365">
          <w:pPr>
            <w:pStyle w:val="13"/>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_Toc21402 </w:instrText>
          </w:r>
          <w:r>
            <w:rPr>
              <w:rFonts w:hint="eastAsia" w:ascii="宋体" w:hAnsi="宋体" w:eastAsia="宋体" w:cs="宋体"/>
              <w:bCs/>
              <w:kern w:val="36"/>
              <w:szCs w:val="36"/>
            </w:rPr>
            <w:fldChar w:fldCharType="separate"/>
          </w:r>
          <w:r>
            <w:rPr>
              <w:rFonts w:hint="eastAsia"/>
            </w:rPr>
            <w:t>（二） 知识目标</w:t>
          </w:r>
          <w:r>
            <w:tab/>
          </w:r>
          <w:r>
            <w:fldChar w:fldCharType="begin"/>
          </w:r>
          <w:r>
            <w:instrText xml:space="preserve"> PAGEREF _Toc21402 \h </w:instrText>
          </w:r>
          <w:r>
            <w:fldChar w:fldCharType="separate"/>
          </w:r>
          <w:r>
            <w:t>2</w:t>
          </w:r>
          <w:r>
            <w:fldChar w:fldCharType="end"/>
          </w:r>
          <w:r>
            <w:rPr>
              <w:rFonts w:hint="eastAsia" w:ascii="宋体" w:hAnsi="宋体" w:eastAsia="宋体" w:cs="宋体"/>
              <w:bCs/>
              <w:kern w:val="36"/>
              <w:szCs w:val="36"/>
            </w:rPr>
            <w:fldChar w:fldCharType="end"/>
          </w:r>
        </w:p>
        <w:p w14:paraId="7F8B83E3">
          <w:pPr>
            <w:pStyle w:val="13"/>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_Toc17716 </w:instrText>
          </w:r>
          <w:r>
            <w:rPr>
              <w:rFonts w:hint="eastAsia" w:ascii="宋体" w:hAnsi="宋体" w:eastAsia="宋体" w:cs="宋体"/>
              <w:bCs/>
              <w:kern w:val="36"/>
              <w:szCs w:val="36"/>
            </w:rPr>
            <w:fldChar w:fldCharType="separate"/>
          </w:r>
          <w:r>
            <w:rPr>
              <w:rFonts w:hint="eastAsia"/>
            </w:rPr>
            <w:t>（三） 能力目标</w:t>
          </w:r>
          <w:r>
            <w:tab/>
          </w:r>
          <w:r>
            <w:fldChar w:fldCharType="begin"/>
          </w:r>
          <w:r>
            <w:instrText xml:space="preserve"> PAGEREF _Toc17716 \h </w:instrText>
          </w:r>
          <w:r>
            <w:fldChar w:fldCharType="separate"/>
          </w:r>
          <w:r>
            <w:t>3</w:t>
          </w:r>
          <w:r>
            <w:fldChar w:fldCharType="end"/>
          </w:r>
          <w:r>
            <w:rPr>
              <w:rFonts w:hint="eastAsia" w:ascii="宋体" w:hAnsi="宋体" w:eastAsia="宋体" w:cs="宋体"/>
              <w:bCs/>
              <w:kern w:val="36"/>
              <w:szCs w:val="36"/>
            </w:rPr>
            <w:fldChar w:fldCharType="end"/>
          </w:r>
        </w:p>
        <w:p w14:paraId="2E3C31E5">
          <w:pPr>
            <w:pStyle w:val="11"/>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_Toc5235 </w:instrText>
          </w:r>
          <w:r>
            <w:rPr>
              <w:rFonts w:hint="eastAsia" w:ascii="宋体" w:hAnsi="宋体" w:eastAsia="宋体" w:cs="宋体"/>
              <w:bCs/>
              <w:kern w:val="36"/>
              <w:szCs w:val="36"/>
            </w:rPr>
            <w:fldChar w:fldCharType="separate"/>
          </w:r>
          <w:r>
            <w:rPr>
              <w:rFonts w:hint="eastAsia"/>
            </w:rPr>
            <w:t>四、课程职业能力分析</w:t>
          </w:r>
          <w:r>
            <w:tab/>
          </w:r>
          <w:r>
            <w:fldChar w:fldCharType="begin"/>
          </w:r>
          <w:r>
            <w:instrText xml:space="preserve"> PAGEREF _Toc5235 \h </w:instrText>
          </w:r>
          <w:r>
            <w:fldChar w:fldCharType="separate"/>
          </w:r>
          <w:r>
            <w:t>3</w:t>
          </w:r>
          <w:r>
            <w:fldChar w:fldCharType="end"/>
          </w:r>
          <w:r>
            <w:rPr>
              <w:rFonts w:hint="eastAsia" w:ascii="宋体" w:hAnsi="宋体" w:eastAsia="宋体" w:cs="宋体"/>
              <w:bCs/>
              <w:kern w:val="36"/>
              <w:szCs w:val="36"/>
            </w:rPr>
            <w:fldChar w:fldCharType="end"/>
          </w:r>
        </w:p>
        <w:p w14:paraId="0E0B19A4">
          <w:pPr>
            <w:pStyle w:val="11"/>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_Toc20607 </w:instrText>
          </w:r>
          <w:r>
            <w:rPr>
              <w:rFonts w:hint="eastAsia" w:ascii="宋体" w:hAnsi="宋体" w:eastAsia="宋体" w:cs="宋体"/>
              <w:bCs/>
              <w:kern w:val="36"/>
              <w:szCs w:val="36"/>
            </w:rPr>
            <w:fldChar w:fldCharType="separate"/>
          </w:r>
          <w:r>
            <w:rPr>
              <w:rFonts w:hint="eastAsia"/>
            </w:rPr>
            <w:t>五、课程设计思路</w:t>
          </w:r>
          <w:r>
            <w:tab/>
          </w:r>
          <w:r>
            <w:fldChar w:fldCharType="begin"/>
          </w:r>
          <w:r>
            <w:instrText xml:space="preserve"> PAGEREF _Toc20607 \h </w:instrText>
          </w:r>
          <w:r>
            <w:fldChar w:fldCharType="separate"/>
          </w:r>
          <w:r>
            <w:t>5</w:t>
          </w:r>
          <w:r>
            <w:fldChar w:fldCharType="end"/>
          </w:r>
          <w:r>
            <w:rPr>
              <w:rFonts w:hint="eastAsia" w:ascii="宋体" w:hAnsi="宋体" w:eastAsia="宋体" w:cs="宋体"/>
              <w:bCs/>
              <w:kern w:val="36"/>
              <w:szCs w:val="36"/>
            </w:rPr>
            <w:fldChar w:fldCharType="end"/>
          </w:r>
        </w:p>
        <w:p w14:paraId="4B20ABD2">
          <w:pPr>
            <w:pStyle w:val="13"/>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_Toc7471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一</w:t>
          </w:r>
          <w:r>
            <w:rPr>
              <w:rFonts w:hint="eastAsia"/>
              <w:lang w:eastAsia="zh-CN"/>
            </w:rPr>
            <w:t>）</w:t>
          </w:r>
          <w:r>
            <w:rPr>
              <w:rFonts w:hint="eastAsia"/>
            </w:rPr>
            <w:t>教学路径</w:t>
          </w:r>
          <w:r>
            <w:tab/>
          </w:r>
          <w:r>
            <w:fldChar w:fldCharType="begin"/>
          </w:r>
          <w:r>
            <w:instrText xml:space="preserve"> PAGEREF _Toc7471 \h </w:instrText>
          </w:r>
          <w:r>
            <w:fldChar w:fldCharType="separate"/>
          </w:r>
          <w:r>
            <w:t>5</w:t>
          </w:r>
          <w:r>
            <w:fldChar w:fldCharType="end"/>
          </w:r>
          <w:r>
            <w:rPr>
              <w:rFonts w:hint="eastAsia" w:ascii="宋体" w:hAnsi="宋体" w:eastAsia="宋体" w:cs="宋体"/>
              <w:bCs/>
              <w:kern w:val="36"/>
              <w:szCs w:val="36"/>
            </w:rPr>
            <w:fldChar w:fldCharType="end"/>
          </w:r>
        </w:p>
        <w:p w14:paraId="30B75871">
          <w:pPr>
            <w:pStyle w:val="13"/>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_Toc31255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二</w:t>
          </w:r>
          <w:r>
            <w:rPr>
              <w:rFonts w:hint="eastAsia"/>
              <w:lang w:eastAsia="zh-CN"/>
            </w:rPr>
            <w:t>）</w:t>
          </w:r>
          <w:r>
            <w:rPr>
              <w:rFonts w:hint="eastAsia"/>
            </w:rPr>
            <w:t>教学评价</w:t>
          </w:r>
          <w:r>
            <w:tab/>
          </w:r>
          <w:r>
            <w:fldChar w:fldCharType="begin"/>
          </w:r>
          <w:r>
            <w:instrText xml:space="preserve"> PAGEREF _Toc31255 \h </w:instrText>
          </w:r>
          <w:r>
            <w:fldChar w:fldCharType="separate"/>
          </w:r>
          <w:r>
            <w:t>6</w:t>
          </w:r>
          <w:r>
            <w:fldChar w:fldCharType="end"/>
          </w:r>
          <w:r>
            <w:rPr>
              <w:rFonts w:hint="eastAsia" w:ascii="宋体" w:hAnsi="宋体" w:eastAsia="宋体" w:cs="宋体"/>
              <w:bCs/>
              <w:kern w:val="36"/>
              <w:szCs w:val="36"/>
            </w:rPr>
            <w:fldChar w:fldCharType="end"/>
          </w:r>
        </w:p>
        <w:p w14:paraId="077A722B">
          <w:pPr>
            <w:pStyle w:val="13"/>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_Toc2599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三</w:t>
          </w:r>
          <w:r>
            <w:rPr>
              <w:rFonts w:hint="eastAsia"/>
              <w:lang w:eastAsia="zh-CN"/>
            </w:rPr>
            <w:t>）</w:t>
          </w:r>
          <w:r>
            <w:rPr>
              <w:rFonts w:hint="eastAsia"/>
            </w:rPr>
            <w:t>课程思政</w:t>
          </w:r>
          <w:r>
            <w:tab/>
          </w:r>
          <w:r>
            <w:fldChar w:fldCharType="begin"/>
          </w:r>
          <w:r>
            <w:instrText xml:space="preserve"> PAGEREF _Toc2599 \h </w:instrText>
          </w:r>
          <w:r>
            <w:fldChar w:fldCharType="separate"/>
          </w:r>
          <w:r>
            <w:t>6</w:t>
          </w:r>
          <w:r>
            <w:fldChar w:fldCharType="end"/>
          </w:r>
          <w:r>
            <w:rPr>
              <w:rFonts w:hint="eastAsia" w:ascii="宋体" w:hAnsi="宋体" w:eastAsia="宋体" w:cs="宋体"/>
              <w:bCs/>
              <w:kern w:val="36"/>
              <w:szCs w:val="36"/>
            </w:rPr>
            <w:fldChar w:fldCharType="end"/>
          </w:r>
        </w:p>
        <w:p w14:paraId="649BD953">
          <w:pPr>
            <w:pStyle w:val="11"/>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_Toc22160 </w:instrText>
          </w:r>
          <w:r>
            <w:rPr>
              <w:rFonts w:hint="eastAsia" w:ascii="宋体" w:hAnsi="宋体" w:eastAsia="宋体" w:cs="宋体"/>
              <w:bCs/>
              <w:kern w:val="36"/>
              <w:szCs w:val="36"/>
            </w:rPr>
            <w:fldChar w:fldCharType="separate"/>
          </w:r>
          <w:r>
            <w:rPr>
              <w:rFonts w:hint="eastAsia"/>
            </w:rPr>
            <w:t>六、课程结构与内容</w:t>
          </w:r>
          <w:r>
            <w:tab/>
          </w:r>
          <w:r>
            <w:fldChar w:fldCharType="begin"/>
          </w:r>
          <w:r>
            <w:instrText xml:space="preserve"> PAGEREF _Toc22160 \h </w:instrText>
          </w:r>
          <w:r>
            <w:fldChar w:fldCharType="separate"/>
          </w:r>
          <w:r>
            <w:t>7</w:t>
          </w:r>
          <w:r>
            <w:fldChar w:fldCharType="end"/>
          </w:r>
          <w:r>
            <w:rPr>
              <w:rFonts w:hint="eastAsia" w:ascii="宋体" w:hAnsi="宋体" w:eastAsia="宋体" w:cs="宋体"/>
              <w:bCs/>
              <w:kern w:val="36"/>
              <w:szCs w:val="36"/>
            </w:rPr>
            <w:fldChar w:fldCharType="end"/>
          </w:r>
        </w:p>
        <w:p w14:paraId="5CEE57D3">
          <w:pPr>
            <w:pStyle w:val="11"/>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_Toc26810 </w:instrText>
          </w:r>
          <w:r>
            <w:rPr>
              <w:rFonts w:hint="eastAsia" w:ascii="宋体" w:hAnsi="宋体" w:eastAsia="宋体" w:cs="宋体"/>
              <w:bCs/>
              <w:kern w:val="36"/>
              <w:szCs w:val="36"/>
            </w:rPr>
            <w:fldChar w:fldCharType="separate"/>
          </w:r>
          <w:r>
            <w:rPr>
              <w:rFonts w:hint="eastAsia" w:ascii="仿宋" w:hAnsi="仿宋" w:eastAsia="仿宋" w:cs="仿宋"/>
              <w:kern w:val="0"/>
              <w:szCs w:val="24"/>
              <w:lang w:val="en-US" w:eastAsia="zh-CN" w:bidi="ar-SA"/>
            </w:rPr>
            <w:t>旅行社产品开发</w:t>
          </w:r>
          <w:r>
            <w:tab/>
          </w:r>
          <w:r>
            <w:fldChar w:fldCharType="begin"/>
          </w:r>
          <w:r>
            <w:instrText xml:space="preserve"> PAGEREF _Toc26810 \h </w:instrText>
          </w:r>
          <w:r>
            <w:fldChar w:fldCharType="separate"/>
          </w:r>
          <w:r>
            <w:t>8</w:t>
          </w:r>
          <w:r>
            <w:fldChar w:fldCharType="end"/>
          </w:r>
          <w:r>
            <w:rPr>
              <w:rFonts w:hint="eastAsia" w:ascii="宋体" w:hAnsi="宋体" w:eastAsia="宋体" w:cs="宋体"/>
              <w:bCs/>
              <w:kern w:val="36"/>
              <w:szCs w:val="36"/>
            </w:rPr>
            <w:fldChar w:fldCharType="end"/>
          </w:r>
        </w:p>
        <w:p w14:paraId="5A76444A">
          <w:pPr>
            <w:pStyle w:val="11"/>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_Toc17537 </w:instrText>
          </w:r>
          <w:r>
            <w:rPr>
              <w:rFonts w:hint="eastAsia" w:ascii="宋体" w:hAnsi="宋体" w:eastAsia="宋体" w:cs="宋体"/>
              <w:bCs/>
              <w:kern w:val="36"/>
              <w:szCs w:val="36"/>
            </w:rPr>
            <w:fldChar w:fldCharType="separate"/>
          </w:r>
          <w:r>
            <w:rPr>
              <w:rFonts w:hint="eastAsia"/>
            </w:rPr>
            <w:t>七、学习评价</w:t>
          </w:r>
          <w:r>
            <w:tab/>
          </w:r>
          <w:r>
            <w:fldChar w:fldCharType="begin"/>
          </w:r>
          <w:r>
            <w:instrText xml:space="preserve"> PAGEREF _Toc17537 \h </w:instrText>
          </w:r>
          <w:r>
            <w:fldChar w:fldCharType="separate"/>
          </w:r>
          <w:r>
            <w:t>10</w:t>
          </w:r>
          <w:r>
            <w:fldChar w:fldCharType="end"/>
          </w:r>
          <w:r>
            <w:rPr>
              <w:rFonts w:hint="eastAsia" w:ascii="宋体" w:hAnsi="宋体" w:eastAsia="宋体" w:cs="宋体"/>
              <w:bCs/>
              <w:kern w:val="36"/>
              <w:szCs w:val="36"/>
            </w:rPr>
            <w:fldChar w:fldCharType="end"/>
          </w:r>
        </w:p>
        <w:p w14:paraId="724F1FC3">
          <w:pPr>
            <w:pStyle w:val="11"/>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_Toc20745 </w:instrText>
          </w:r>
          <w:r>
            <w:rPr>
              <w:rFonts w:hint="eastAsia" w:ascii="宋体" w:hAnsi="宋体" w:eastAsia="宋体" w:cs="宋体"/>
              <w:bCs/>
              <w:kern w:val="36"/>
              <w:szCs w:val="36"/>
            </w:rPr>
            <w:fldChar w:fldCharType="separate"/>
          </w:r>
          <w:r>
            <w:rPr>
              <w:rFonts w:hint="eastAsia"/>
            </w:rPr>
            <w:t>八、教学资源</w:t>
          </w:r>
          <w:r>
            <w:tab/>
          </w:r>
          <w:r>
            <w:fldChar w:fldCharType="begin"/>
          </w:r>
          <w:r>
            <w:instrText xml:space="preserve"> PAGEREF _Toc20745 \h </w:instrText>
          </w:r>
          <w:r>
            <w:fldChar w:fldCharType="separate"/>
          </w:r>
          <w:r>
            <w:t>12</w:t>
          </w:r>
          <w:r>
            <w:fldChar w:fldCharType="end"/>
          </w:r>
          <w:r>
            <w:rPr>
              <w:rFonts w:hint="eastAsia" w:ascii="宋体" w:hAnsi="宋体" w:eastAsia="宋体" w:cs="宋体"/>
              <w:bCs/>
              <w:kern w:val="36"/>
              <w:szCs w:val="36"/>
            </w:rPr>
            <w:fldChar w:fldCharType="end"/>
          </w:r>
        </w:p>
        <w:p w14:paraId="3D673164">
          <w:pPr>
            <w:pStyle w:val="13"/>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_Toc1991 </w:instrText>
          </w:r>
          <w:r>
            <w:rPr>
              <w:rFonts w:hint="eastAsia" w:ascii="宋体" w:hAnsi="宋体" w:eastAsia="宋体" w:cs="宋体"/>
              <w:bCs/>
              <w:kern w:val="36"/>
              <w:szCs w:val="36"/>
            </w:rPr>
            <w:fldChar w:fldCharType="separate"/>
          </w:r>
          <w:r>
            <w:rPr>
              <w:rFonts w:hint="eastAsia"/>
            </w:rPr>
            <w:t>（一）主要参考教材</w:t>
          </w:r>
          <w:r>
            <w:tab/>
          </w:r>
          <w:r>
            <w:fldChar w:fldCharType="begin"/>
          </w:r>
          <w:r>
            <w:instrText xml:space="preserve"> PAGEREF _Toc1991 \h </w:instrText>
          </w:r>
          <w:r>
            <w:fldChar w:fldCharType="separate"/>
          </w:r>
          <w:r>
            <w:t>12</w:t>
          </w:r>
          <w:r>
            <w:fldChar w:fldCharType="end"/>
          </w:r>
          <w:r>
            <w:rPr>
              <w:rFonts w:hint="eastAsia" w:ascii="宋体" w:hAnsi="宋体" w:eastAsia="宋体" w:cs="宋体"/>
              <w:bCs/>
              <w:kern w:val="36"/>
              <w:szCs w:val="36"/>
            </w:rPr>
            <w:fldChar w:fldCharType="end"/>
          </w:r>
        </w:p>
        <w:p w14:paraId="6863646B">
          <w:pPr>
            <w:pStyle w:val="13"/>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_Toc23228 </w:instrText>
          </w:r>
          <w:r>
            <w:rPr>
              <w:rFonts w:hint="eastAsia" w:ascii="宋体" w:hAnsi="宋体" w:eastAsia="宋体" w:cs="宋体"/>
              <w:bCs/>
              <w:kern w:val="36"/>
              <w:szCs w:val="36"/>
            </w:rPr>
            <w:fldChar w:fldCharType="separate"/>
          </w:r>
          <w:r>
            <w:rPr>
              <w:rFonts w:hint="eastAsia"/>
            </w:rPr>
            <w:t>（二） 其他参考资料</w:t>
          </w:r>
          <w:r>
            <w:tab/>
          </w:r>
          <w:r>
            <w:fldChar w:fldCharType="begin"/>
          </w:r>
          <w:r>
            <w:instrText xml:space="preserve"> PAGEREF _Toc23228 \h </w:instrText>
          </w:r>
          <w:r>
            <w:fldChar w:fldCharType="separate"/>
          </w:r>
          <w:r>
            <w:t>12</w:t>
          </w:r>
          <w:r>
            <w:fldChar w:fldCharType="end"/>
          </w:r>
          <w:r>
            <w:rPr>
              <w:rFonts w:hint="eastAsia" w:ascii="宋体" w:hAnsi="宋体" w:eastAsia="宋体" w:cs="宋体"/>
              <w:bCs/>
              <w:kern w:val="36"/>
              <w:szCs w:val="36"/>
            </w:rPr>
            <w:fldChar w:fldCharType="end"/>
          </w:r>
        </w:p>
        <w:p w14:paraId="3BE1DAA4">
          <w:pPr>
            <w:pStyle w:val="13"/>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_Toc6077 </w:instrText>
          </w:r>
          <w:r>
            <w:rPr>
              <w:rFonts w:hint="eastAsia" w:ascii="宋体" w:hAnsi="宋体" w:eastAsia="宋体" w:cs="宋体"/>
              <w:bCs/>
              <w:kern w:val="36"/>
              <w:szCs w:val="36"/>
            </w:rPr>
            <w:fldChar w:fldCharType="separate"/>
          </w:r>
          <w:r>
            <w:rPr>
              <w:rFonts w:hint="eastAsia"/>
            </w:rPr>
            <w:t>（三）实训条件</w:t>
          </w:r>
          <w:r>
            <w:tab/>
          </w:r>
          <w:r>
            <w:fldChar w:fldCharType="begin"/>
          </w:r>
          <w:r>
            <w:instrText xml:space="preserve"> PAGEREF _Toc6077 \h </w:instrText>
          </w:r>
          <w:r>
            <w:fldChar w:fldCharType="separate"/>
          </w:r>
          <w:r>
            <w:t>12</w:t>
          </w:r>
          <w:r>
            <w:fldChar w:fldCharType="end"/>
          </w:r>
          <w:r>
            <w:rPr>
              <w:rFonts w:hint="eastAsia" w:ascii="宋体" w:hAnsi="宋体" w:eastAsia="宋体" w:cs="宋体"/>
              <w:bCs/>
              <w:kern w:val="36"/>
              <w:szCs w:val="36"/>
            </w:rPr>
            <w:fldChar w:fldCharType="end"/>
          </w:r>
        </w:p>
        <w:p w14:paraId="76C24AA7">
          <w:pPr>
            <w:pStyle w:val="13"/>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_Toc97 </w:instrText>
          </w:r>
          <w:r>
            <w:rPr>
              <w:rFonts w:hint="eastAsia" w:ascii="宋体" w:hAnsi="宋体" w:eastAsia="宋体" w:cs="宋体"/>
              <w:bCs/>
              <w:kern w:val="36"/>
              <w:szCs w:val="36"/>
            </w:rPr>
            <w:fldChar w:fldCharType="separate"/>
          </w:r>
          <w:r>
            <w:rPr>
              <w:rFonts w:hint="eastAsia"/>
            </w:rPr>
            <w:t>（四）信息化教学资源</w:t>
          </w:r>
          <w:r>
            <w:tab/>
          </w:r>
          <w:r>
            <w:fldChar w:fldCharType="begin"/>
          </w:r>
          <w:r>
            <w:instrText xml:space="preserve"> PAGEREF _Toc97 \h </w:instrText>
          </w:r>
          <w:r>
            <w:fldChar w:fldCharType="separate"/>
          </w:r>
          <w:r>
            <w:t>13</w:t>
          </w:r>
          <w:r>
            <w:fldChar w:fldCharType="end"/>
          </w:r>
          <w:r>
            <w:rPr>
              <w:rFonts w:hint="eastAsia" w:ascii="宋体" w:hAnsi="宋体" w:eastAsia="宋体" w:cs="宋体"/>
              <w:bCs/>
              <w:kern w:val="36"/>
              <w:szCs w:val="36"/>
            </w:rPr>
            <w:fldChar w:fldCharType="end"/>
          </w:r>
        </w:p>
        <w:p w14:paraId="280FD6F9">
          <w:pPr>
            <w:pStyle w:val="11"/>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_Toc10388 </w:instrText>
          </w:r>
          <w:r>
            <w:rPr>
              <w:rFonts w:hint="eastAsia" w:ascii="宋体" w:hAnsi="宋体" w:eastAsia="宋体" w:cs="宋体"/>
              <w:bCs/>
              <w:kern w:val="36"/>
              <w:szCs w:val="36"/>
            </w:rPr>
            <w:fldChar w:fldCharType="separate"/>
          </w:r>
          <w:r>
            <w:rPr>
              <w:rFonts w:hint="eastAsia"/>
              <w:lang w:eastAsia="zh-CN"/>
            </w:rPr>
            <w:t xml:space="preserve">九、 </w:t>
          </w:r>
          <w:r>
            <w:rPr>
              <w:rFonts w:hint="eastAsia"/>
            </w:rPr>
            <w:t>师资要求</w:t>
          </w:r>
          <w:r>
            <w:tab/>
          </w:r>
          <w:r>
            <w:fldChar w:fldCharType="begin"/>
          </w:r>
          <w:r>
            <w:instrText xml:space="preserve"> PAGEREF _Toc10388 \h </w:instrText>
          </w:r>
          <w:r>
            <w:fldChar w:fldCharType="separate"/>
          </w:r>
          <w:r>
            <w:t>13</w:t>
          </w:r>
          <w:r>
            <w:fldChar w:fldCharType="end"/>
          </w:r>
          <w:r>
            <w:rPr>
              <w:rFonts w:hint="eastAsia" w:ascii="宋体" w:hAnsi="宋体" w:eastAsia="宋体" w:cs="宋体"/>
              <w:bCs/>
              <w:kern w:val="36"/>
              <w:szCs w:val="36"/>
            </w:rPr>
            <w:fldChar w:fldCharType="end"/>
          </w:r>
        </w:p>
        <w:p w14:paraId="25AECB3E">
          <w:pPr>
            <w:pStyle w:val="13"/>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_Toc30081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一</w:t>
          </w:r>
          <w:r>
            <w:rPr>
              <w:rFonts w:hint="eastAsia"/>
              <w:lang w:eastAsia="zh-CN"/>
            </w:rPr>
            <w:t>）</w:t>
          </w:r>
          <w:r>
            <w:rPr>
              <w:rFonts w:hint="eastAsia"/>
            </w:rPr>
            <w:t>对“双师型”教学团队的基本要求</w:t>
          </w:r>
          <w:r>
            <w:tab/>
          </w:r>
          <w:r>
            <w:fldChar w:fldCharType="begin"/>
          </w:r>
          <w:r>
            <w:instrText xml:space="preserve"> PAGEREF _Toc30081 \h </w:instrText>
          </w:r>
          <w:r>
            <w:fldChar w:fldCharType="separate"/>
          </w:r>
          <w:r>
            <w:t>13</w:t>
          </w:r>
          <w:r>
            <w:fldChar w:fldCharType="end"/>
          </w:r>
          <w:r>
            <w:rPr>
              <w:rFonts w:hint="eastAsia" w:ascii="宋体" w:hAnsi="宋体" w:eastAsia="宋体" w:cs="宋体"/>
              <w:bCs/>
              <w:kern w:val="36"/>
              <w:szCs w:val="36"/>
            </w:rPr>
            <w:fldChar w:fldCharType="end"/>
          </w:r>
        </w:p>
        <w:p w14:paraId="0B2FAC44">
          <w:pPr>
            <w:pStyle w:val="13"/>
            <w:keepNext w:val="0"/>
            <w:keepLines w:val="0"/>
            <w:pageBreakBefore w:val="0"/>
            <w:widowControl w:val="0"/>
            <w:tabs>
              <w:tab w:val="right" w:leader="dot" w:pos="8306"/>
            </w:tabs>
            <w:kinsoku/>
            <w:wordWrap/>
            <w:overflowPunct/>
            <w:topLinePunct w:val="0"/>
            <w:autoSpaceDE/>
            <w:autoSpaceDN/>
            <w:bidi w:val="0"/>
            <w:adjustRightIn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_Toc29403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二</w:t>
          </w:r>
          <w:r>
            <w:rPr>
              <w:rFonts w:hint="eastAsia"/>
              <w:lang w:eastAsia="zh-CN"/>
            </w:rPr>
            <w:t>）对兼职教师的基本要求</w:t>
          </w:r>
          <w:r>
            <w:tab/>
          </w:r>
          <w:r>
            <w:fldChar w:fldCharType="begin"/>
          </w:r>
          <w:r>
            <w:instrText xml:space="preserve"> PAGEREF _Toc29403 \h </w:instrText>
          </w:r>
          <w:r>
            <w:fldChar w:fldCharType="separate"/>
          </w:r>
          <w:r>
            <w:t>13</w:t>
          </w:r>
          <w:r>
            <w:fldChar w:fldCharType="end"/>
          </w:r>
          <w:r>
            <w:rPr>
              <w:rFonts w:hint="eastAsia" w:ascii="宋体" w:hAnsi="宋体" w:eastAsia="宋体" w:cs="宋体"/>
              <w:bCs/>
              <w:kern w:val="36"/>
              <w:szCs w:val="36"/>
            </w:rPr>
            <w:fldChar w:fldCharType="end"/>
          </w:r>
        </w:p>
        <w:p w14:paraId="091745C9">
          <w:pPr>
            <w:pStyle w:val="11"/>
            <w:keepNext w:val="0"/>
            <w:keepLines w:val="0"/>
            <w:pageBreakBefore w:val="0"/>
            <w:widowControl w:val="0"/>
            <w:tabs>
              <w:tab w:val="right" w:leader="dot" w:pos="8306"/>
            </w:tabs>
            <w:kinsoku/>
            <w:wordWrap/>
            <w:overflowPunct/>
            <w:topLinePunct w:val="0"/>
            <w:autoSpaceDE/>
            <w:autoSpaceDN/>
            <w:bidi w:val="0"/>
            <w:adjustRightInd/>
            <w:snapToGrid/>
            <w:spacing w:line="400" w:lineRule="exact"/>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_Toc28766 </w:instrText>
          </w:r>
          <w:r>
            <w:rPr>
              <w:rFonts w:hint="eastAsia" w:ascii="宋体" w:hAnsi="宋体" w:eastAsia="宋体" w:cs="宋体"/>
              <w:bCs/>
              <w:kern w:val="36"/>
              <w:szCs w:val="36"/>
            </w:rPr>
            <w:fldChar w:fldCharType="separate"/>
          </w:r>
          <w:r>
            <w:rPr>
              <w:rFonts w:hint="eastAsia"/>
            </w:rPr>
            <w:t>十、其它说明</w:t>
          </w:r>
          <w:r>
            <w:tab/>
          </w:r>
          <w:r>
            <w:fldChar w:fldCharType="begin"/>
          </w:r>
          <w:r>
            <w:instrText xml:space="preserve"> PAGEREF _Toc28766 \h </w:instrText>
          </w:r>
          <w:r>
            <w:fldChar w:fldCharType="separate"/>
          </w:r>
          <w:r>
            <w:t>13</w:t>
          </w:r>
          <w:r>
            <w:fldChar w:fldCharType="end"/>
          </w:r>
          <w:r>
            <w:rPr>
              <w:rFonts w:hint="eastAsia" w:ascii="宋体" w:hAnsi="宋体" w:eastAsia="宋体" w:cs="宋体"/>
              <w:bCs/>
              <w:kern w:val="36"/>
              <w:szCs w:val="36"/>
            </w:rPr>
            <w:fldChar w:fldCharType="end"/>
          </w:r>
        </w:p>
        <w:p w14:paraId="64AD7DDB">
          <w:pPr>
            <w:keepNext w:val="0"/>
            <w:keepLines w:val="0"/>
            <w:pageBreakBefore w:val="0"/>
            <w:widowControl w:val="0"/>
            <w:kinsoku/>
            <w:wordWrap/>
            <w:overflowPunct/>
            <w:topLinePunct w:val="0"/>
            <w:autoSpaceDE/>
            <w:autoSpaceDN/>
            <w:bidi w:val="0"/>
            <w:adjustRightInd/>
            <w:snapToGrid w:val="0"/>
            <w:spacing w:line="400" w:lineRule="exact"/>
            <w:textAlignment w:val="auto"/>
            <w:rPr>
              <w:rFonts w:ascii="宋体" w:hAnsi="宋体" w:cs="宋体"/>
              <w:b/>
              <w:bCs/>
              <w:kern w:val="36"/>
              <w:sz w:val="36"/>
              <w:szCs w:val="36"/>
            </w:rPr>
            <w:sectPr>
              <w:footerReference r:id="rId11" w:type="default"/>
              <w:pgSz w:w="11906" w:h="16838"/>
              <w:pgMar w:top="1440" w:right="1800" w:bottom="1440" w:left="1800" w:header="851" w:footer="992" w:gutter="0"/>
              <w:pgNumType w:start="1"/>
              <w:cols w:space="425" w:num="1"/>
              <w:docGrid w:type="lines" w:linePitch="312" w:charSpace="0"/>
            </w:sectPr>
          </w:pPr>
          <w:r>
            <w:rPr>
              <w:rFonts w:hint="eastAsia" w:ascii="宋体" w:hAnsi="宋体" w:eastAsia="宋体" w:cs="宋体"/>
              <w:bCs/>
              <w:kern w:val="36"/>
              <w:szCs w:val="36"/>
            </w:rPr>
            <w:fldChar w:fldCharType="end"/>
          </w:r>
        </w:p>
      </w:sdtContent>
    </w:sdt>
    <w:p w14:paraId="0C581331">
      <w:pPr>
        <w:pStyle w:val="2"/>
        <w:ind w:firstLine="653"/>
      </w:pPr>
      <w:bookmarkStart w:id="0" w:name="_Toc502337258"/>
      <w:bookmarkStart w:id="1" w:name="_Toc11713"/>
      <w:bookmarkStart w:id="2" w:name="_Toc10917"/>
      <w:bookmarkStart w:id="3" w:name="_Toc2469"/>
      <w:bookmarkStart w:id="4" w:name="_Toc16819"/>
      <w:bookmarkStart w:id="5" w:name="_Toc8847"/>
      <w:r>
        <w:rPr>
          <w:rFonts w:hint="eastAsia"/>
        </w:rPr>
        <w:t>一、课程</w:t>
      </w:r>
      <w:bookmarkEnd w:id="0"/>
      <w:r>
        <w:rPr>
          <w:rFonts w:hint="eastAsia"/>
        </w:rPr>
        <w:t>基本信息</w:t>
      </w:r>
      <w:bookmarkEnd w:id="1"/>
      <w:bookmarkEnd w:id="2"/>
    </w:p>
    <w:p w14:paraId="37636035">
      <w:pPr>
        <w:ind w:firstLine="0" w:firstLineChars="0"/>
        <w:jc w:val="center"/>
        <w:rPr>
          <w:rFonts w:ascii="仿宋_GB2312" w:hAnsi="仿宋_GB2312" w:cs="仿宋_GB2312"/>
          <w:b/>
          <w:bCs/>
          <w:sz w:val="24"/>
          <w:szCs w:val="21"/>
        </w:rPr>
      </w:pPr>
      <w:r>
        <w:rPr>
          <w:rFonts w:hint="eastAsia" w:ascii="仿宋_GB2312" w:hAnsi="仿宋_GB2312" w:cs="仿宋_GB2312"/>
          <w:b/>
          <w:bCs/>
          <w:sz w:val="24"/>
          <w:szCs w:val="21"/>
        </w:rPr>
        <w:t>表1. 课程基本信息表</w:t>
      </w:r>
    </w:p>
    <w:tbl>
      <w:tblPr>
        <w:tblStyle w:val="1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450"/>
        <w:gridCol w:w="1615"/>
        <w:gridCol w:w="2506"/>
      </w:tblGrid>
      <w:tr w14:paraId="6C572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12" w:space="0"/>
              <w:left w:val="single" w:color="auto" w:sz="12" w:space="0"/>
              <w:bottom w:val="single" w:color="auto" w:sz="4" w:space="0"/>
              <w:right w:val="single" w:color="auto" w:sz="4" w:space="0"/>
            </w:tcBorders>
            <w:vAlign w:val="center"/>
          </w:tcPr>
          <w:p w14:paraId="7ABCB4C5">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课程名称</w:t>
            </w:r>
          </w:p>
        </w:tc>
        <w:tc>
          <w:tcPr>
            <w:tcW w:w="2450" w:type="dxa"/>
            <w:tcBorders>
              <w:top w:val="single" w:color="auto" w:sz="12" w:space="0"/>
              <w:left w:val="single" w:color="auto" w:sz="4" w:space="0"/>
              <w:bottom w:val="single" w:color="auto" w:sz="4" w:space="0"/>
              <w:right w:val="single" w:color="auto" w:sz="4" w:space="0"/>
            </w:tcBorders>
            <w:vAlign w:val="center"/>
          </w:tcPr>
          <w:p w14:paraId="4B0ECFAA">
            <w:pPr>
              <w:ind w:firstLine="0" w:firstLineChars="0"/>
              <w:jc w:val="center"/>
              <w:rPr>
                <w:rFonts w:hint="default" w:eastAsia="仿宋_GB2312"/>
                <w:sz w:val="24"/>
                <w:szCs w:val="21"/>
                <w:lang w:val="en-US" w:eastAsia="zh-CN"/>
              </w:rPr>
            </w:pPr>
            <w:r>
              <w:rPr>
                <w:rFonts w:hint="eastAsia"/>
                <w:sz w:val="24"/>
                <w:szCs w:val="21"/>
                <w:lang w:val="en-US" w:eastAsia="zh-CN"/>
              </w:rPr>
              <w:t>管理学基础</w:t>
            </w:r>
          </w:p>
        </w:tc>
        <w:tc>
          <w:tcPr>
            <w:tcW w:w="1615" w:type="dxa"/>
            <w:tcBorders>
              <w:top w:val="single" w:color="auto" w:sz="12" w:space="0"/>
              <w:left w:val="single" w:color="auto" w:sz="4" w:space="0"/>
              <w:bottom w:val="single" w:color="auto" w:sz="4" w:space="0"/>
              <w:right w:val="single" w:color="auto" w:sz="4" w:space="0"/>
            </w:tcBorders>
            <w:vAlign w:val="center"/>
          </w:tcPr>
          <w:p w14:paraId="01BC4B19">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14:paraId="361760CE">
            <w:pPr>
              <w:ind w:firstLine="0" w:firstLineChars="0"/>
              <w:jc w:val="center"/>
              <w:rPr>
                <w:rFonts w:hint="default" w:eastAsia="仿宋_GB2312"/>
                <w:sz w:val="24"/>
                <w:szCs w:val="21"/>
                <w:lang w:val="en-US" w:eastAsia="zh-CN"/>
              </w:rPr>
            </w:pPr>
            <w:r>
              <w:rPr>
                <w:rFonts w:hint="eastAsia" w:ascii="宋体" w:hAnsi="宋体" w:eastAsia="宋体" w:cs="宋体"/>
                <w:i w:val="0"/>
                <w:iCs w:val="0"/>
                <w:color w:val="auto"/>
                <w:kern w:val="0"/>
                <w:sz w:val="24"/>
                <w:szCs w:val="24"/>
                <w:u w:val="none"/>
                <w:lang w:val="en-US" w:eastAsia="zh-CN" w:bidi="ar"/>
              </w:rPr>
              <w:t>10163</w:t>
            </w:r>
          </w:p>
        </w:tc>
      </w:tr>
      <w:tr w14:paraId="2B269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734A2AFB">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课程类别</w:t>
            </w:r>
          </w:p>
        </w:tc>
        <w:tc>
          <w:tcPr>
            <w:tcW w:w="2450" w:type="dxa"/>
            <w:tcBorders>
              <w:top w:val="single" w:color="auto" w:sz="4" w:space="0"/>
              <w:left w:val="single" w:color="auto" w:sz="4" w:space="0"/>
              <w:bottom w:val="single" w:color="auto" w:sz="4" w:space="0"/>
              <w:right w:val="single" w:color="auto" w:sz="4" w:space="0"/>
            </w:tcBorders>
            <w:vAlign w:val="center"/>
          </w:tcPr>
          <w:p w14:paraId="6AE2B202">
            <w:pPr>
              <w:ind w:firstLine="0" w:firstLineChars="0"/>
              <w:jc w:val="center"/>
              <w:rPr>
                <w:sz w:val="24"/>
                <w:szCs w:val="21"/>
              </w:rPr>
            </w:pPr>
            <w:r>
              <w:rPr>
                <w:rFonts w:hint="eastAsia"/>
                <w:sz w:val="24"/>
                <w:szCs w:val="21"/>
              </w:rPr>
              <w:t xml:space="preserve">□公共课  </w:t>
            </w: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专业课</w:t>
            </w:r>
          </w:p>
        </w:tc>
        <w:tc>
          <w:tcPr>
            <w:tcW w:w="1615" w:type="dxa"/>
            <w:tcBorders>
              <w:top w:val="single" w:color="auto" w:sz="4" w:space="0"/>
              <w:left w:val="single" w:color="auto" w:sz="4" w:space="0"/>
              <w:bottom w:val="single" w:color="auto" w:sz="4" w:space="0"/>
              <w:right w:val="single" w:color="auto" w:sz="4" w:space="0"/>
            </w:tcBorders>
            <w:vAlign w:val="center"/>
          </w:tcPr>
          <w:p w14:paraId="334C0E66">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14:paraId="0D719DB2">
            <w:pPr>
              <w:ind w:firstLine="0" w:firstLineChars="0"/>
              <w:jc w:val="left"/>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必修□限选□任选</w:t>
            </w:r>
          </w:p>
        </w:tc>
      </w:tr>
      <w:tr w14:paraId="111BF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12591FF7">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时</w:t>
            </w:r>
          </w:p>
        </w:tc>
        <w:tc>
          <w:tcPr>
            <w:tcW w:w="2450" w:type="dxa"/>
            <w:tcBorders>
              <w:top w:val="single" w:color="auto" w:sz="4" w:space="0"/>
              <w:left w:val="single" w:color="auto" w:sz="4" w:space="0"/>
              <w:bottom w:val="single" w:color="auto" w:sz="4" w:space="0"/>
              <w:right w:val="single" w:color="auto" w:sz="4" w:space="0"/>
            </w:tcBorders>
            <w:vAlign w:val="center"/>
          </w:tcPr>
          <w:p w14:paraId="73312F93">
            <w:pPr>
              <w:ind w:firstLine="0" w:firstLineChars="0"/>
              <w:jc w:val="center"/>
              <w:rPr>
                <w:rFonts w:hint="default" w:eastAsia="仿宋_GB2312"/>
                <w:sz w:val="24"/>
                <w:szCs w:val="21"/>
                <w:lang w:val="en-US" w:eastAsia="zh-CN"/>
              </w:rPr>
            </w:pPr>
            <w:r>
              <w:rPr>
                <w:rFonts w:hint="eastAsia"/>
                <w:sz w:val="24"/>
                <w:szCs w:val="21"/>
                <w:lang w:val="en-US" w:eastAsia="zh-CN"/>
              </w:rPr>
              <w:t>32</w:t>
            </w:r>
          </w:p>
        </w:tc>
        <w:tc>
          <w:tcPr>
            <w:tcW w:w="1615" w:type="dxa"/>
            <w:tcBorders>
              <w:top w:val="single" w:color="auto" w:sz="4" w:space="0"/>
              <w:left w:val="single" w:color="auto" w:sz="4" w:space="0"/>
              <w:bottom w:val="single" w:color="auto" w:sz="4" w:space="0"/>
              <w:right w:val="single" w:color="auto" w:sz="4" w:space="0"/>
            </w:tcBorders>
            <w:vAlign w:val="center"/>
          </w:tcPr>
          <w:p w14:paraId="32F6278C">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分</w:t>
            </w:r>
          </w:p>
        </w:tc>
        <w:tc>
          <w:tcPr>
            <w:tcW w:w="2506" w:type="dxa"/>
            <w:tcBorders>
              <w:top w:val="single" w:color="auto" w:sz="4" w:space="0"/>
              <w:left w:val="single" w:color="auto" w:sz="4" w:space="0"/>
              <w:bottom w:val="single" w:color="auto" w:sz="4" w:space="0"/>
              <w:right w:val="single" w:color="auto" w:sz="12" w:space="0"/>
            </w:tcBorders>
            <w:vAlign w:val="center"/>
          </w:tcPr>
          <w:p w14:paraId="42E9F53E">
            <w:pPr>
              <w:ind w:firstLine="0" w:firstLineChars="0"/>
              <w:jc w:val="center"/>
              <w:rPr>
                <w:rFonts w:hint="default" w:eastAsia="仿宋_GB2312"/>
                <w:sz w:val="24"/>
                <w:szCs w:val="21"/>
                <w:lang w:val="en-US" w:eastAsia="zh-CN"/>
              </w:rPr>
            </w:pPr>
            <w:r>
              <w:rPr>
                <w:rFonts w:hint="eastAsia"/>
                <w:sz w:val="24"/>
                <w:szCs w:val="21"/>
                <w:lang w:val="en-US" w:eastAsia="zh-CN"/>
              </w:rPr>
              <w:t>2</w:t>
            </w:r>
          </w:p>
        </w:tc>
      </w:tr>
      <w:tr w14:paraId="2BCA6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47B9F5D9">
            <w:pPr>
              <w:ind w:firstLine="0" w:firstLineChars="0"/>
              <w:rPr>
                <w:rFonts w:ascii="仿宋_GB2312" w:hAnsi="仿宋_GB2312" w:cs="仿宋_GB2312"/>
                <w:b/>
                <w:bCs/>
                <w:sz w:val="24"/>
                <w:szCs w:val="24"/>
              </w:rPr>
            </w:pPr>
            <w:r>
              <w:rPr>
                <w:rFonts w:hint="eastAsia" w:ascii="仿宋_GB2312" w:hAnsi="仿宋_GB2312" w:cs="仿宋_GB2312"/>
                <w:b/>
                <w:bCs/>
                <w:sz w:val="24"/>
                <w:szCs w:val="24"/>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1E05365">
            <w:pPr>
              <w:ind w:firstLine="0" w:firstLineChars="0"/>
              <w:jc w:val="center"/>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sz w:val="24"/>
                <w:szCs w:val="21"/>
              </w:rPr>
              <w:fldChar w:fldCharType="end"/>
            </w:r>
            <w:r>
              <w:rPr>
                <w:rFonts w:hint="eastAsia"/>
                <w:sz w:val="24"/>
                <w:szCs w:val="21"/>
              </w:rPr>
              <w:t xml:space="preserve">是             </w:t>
            </w:r>
            <w:r>
              <w:rPr>
                <w:rFonts w:hint="eastAsia"/>
                <w:sz w:val="24"/>
                <w:szCs w:val="21"/>
                <w:lang w:eastAsia="zh-CN"/>
              </w:rPr>
              <w:t>☑</w:t>
            </w:r>
            <w:r>
              <w:rPr>
                <w:rFonts w:hint="eastAsia"/>
                <w:sz w:val="24"/>
                <w:szCs w:val="21"/>
              </w:rPr>
              <w:t>否</w:t>
            </w:r>
          </w:p>
        </w:tc>
      </w:tr>
      <w:tr w14:paraId="78E6A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72FC903A">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79AAD90">
            <w:pPr>
              <w:ind w:firstLine="0" w:firstLineChars="0"/>
              <w:jc w:val="center"/>
              <w:rPr>
                <w:rFonts w:hint="default" w:eastAsia="仿宋_GB2312"/>
                <w:sz w:val="24"/>
                <w:szCs w:val="21"/>
                <w:lang w:val="en-US" w:eastAsia="zh-CN"/>
              </w:rPr>
            </w:pPr>
            <w:r>
              <w:rPr>
                <w:rFonts w:hint="eastAsia"/>
                <w:sz w:val="24"/>
                <w:szCs w:val="21"/>
                <w:lang w:val="en-US" w:eastAsia="zh-CN"/>
              </w:rPr>
              <w:t>旅游管理专业</w:t>
            </w:r>
          </w:p>
        </w:tc>
      </w:tr>
      <w:tr w14:paraId="1ACBC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5F5D0E60">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0854DAB7">
            <w:pPr>
              <w:ind w:firstLine="0" w:firstLineChars="0"/>
              <w:jc w:val="center"/>
              <w:rPr>
                <w:rFonts w:hint="default" w:eastAsia="仿宋_GB2312"/>
                <w:sz w:val="24"/>
                <w:szCs w:val="21"/>
                <w:lang w:val="en-US" w:eastAsia="zh-CN"/>
              </w:rPr>
            </w:pPr>
            <w:r>
              <w:rPr>
                <w:rFonts w:hint="eastAsia"/>
                <w:sz w:val="24"/>
                <w:szCs w:val="21"/>
                <w:lang w:val="en-US" w:eastAsia="zh-CN"/>
              </w:rPr>
              <w:t>旅游概论、管理学、人力资源管理、旅游消费者行为、旅游政策法规、旅游地理、导游业务、旅游职业礼仪</w:t>
            </w:r>
          </w:p>
        </w:tc>
      </w:tr>
    </w:tbl>
    <w:p w14:paraId="0278DEA6">
      <w:pPr>
        <w:pStyle w:val="2"/>
        <w:numPr>
          <w:ilvl w:val="0"/>
          <w:numId w:val="1"/>
        </w:numPr>
        <w:ind w:firstLine="653"/>
      </w:pPr>
      <w:bookmarkStart w:id="6" w:name="_Toc20662"/>
      <w:bookmarkStart w:id="7" w:name="_Toc30964"/>
      <w:bookmarkStart w:id="8" w:name="_Toc502337262"/>
      <w:r>
        <w:rPr>
          <w:rFonts w:hint="eastAsia"/>
        </w:rPr>
        <w:t>课程任务</w:t>
      </w:r>
      <w:bookmarkEnd w:id="6"/>
    </w:p>
    <w:p w14:paraId="7402EAE7">
      <w:pPr>
        <w:ind w:firstLine="560"/>
        <w:rPr>
          <w:rFonts w:hint="eastAsia" w:ascii="Times New Roman" w:hAnsi="Times New Roman" w:cs="Times New Roman"/>
        </w:rPr>
      </w:pPr>
      <w:r>
        <w:rPr>
          <w:rFonts w:hint="eastAsia"/>
        </w:rPr>
        <w:t>《</w:t>
      </w:r>
      <w:r>
        <w:rPr>
          <w:rFonts w:hint="eastAsia"/>
          <w:lang w:val="en-US" w:eastAsia="zh-CN"/>
        </w:rPr>
        <w:t>管理学基础</w:t>
      </w:r>
      <w:r>
        <w:rPr>
          <w:rFonts w:hint="eastAsia"/>
        </w:rPr>
        <w:t>》是</w:t>
      </w:r>
      <w:r>
        <w:rPr>
          <w:rFonts w:hint="eastAsia"/>
          <w:lang w:val="en-US" w:eastAsia="zh-CN"/>
        </w:rPr>
        <w:t>旅游管理</w:t>
      </w:r>
      <w:r>
        <w:rPr>
          <w:rFonts w:hint="eastAsia"/>
        </w:rPr>
        <w:t>专业的一门</w:t>
      </w:r>
      <w:r>
        <w:rPr>
          <w:rFonts w:hint="eastAsia"/>
          <w:lang w:val="en-US" w:eastAsia="zh-CN"/>
        </w:rPr>
        <w:t>专业核心</w:t>
      </w:r>
      <w:r>
        <w:rPr>
          <w:rFonts w:hint="eastAsia"/>
        </w:rPr>
        <w:t>课，本课程全面贯彻党的教育方针，落实立德树人根本任务，培养学生爱岗敬业、精益求精的工匠精神和创新意识。帮助学生掌握</w:t>
      </w:r>
      <w:r>
        <w:rPr>
          <w:rFonts w:hint="eastAsia" w:ascii="Times New Roman" w:hAnsi="Times New Roman" w:cs="Times New Roman"/>
        </w:rPr>
        <w:t>经典管理理论与计划、组织、领导、控制四大职能的核心逻辑，理解服务型组织的管理特殊性，并针对旅游行业场景（酒店、旅行社、景区等）学会战略决策（SWOT分析、定价策略）、团队协作、服务质量控制等实操技能；同时提升沟通协调、冲突解决等软技能，强化伦理责任与可持续发展意识，成为兼具系统化思维、服务意识和领导力的复合型人才。为学生未来从事旅行社及相关旅</w:t>
      </w:r>
      <w:r>
        <w:rPr>
          <w:rFonts w:hint="eastAsia"/>
        </w:rPr>
        <w:t>游企业的运营管理工作打下坚实基础，使其能够有效应对旅游市场变化，解决实际运营中的复杂问题，为旅游行业的高质量发展贡献力量。</w:t>
      </w:r>
    </w:p>
    <w:p w14:paraId="69B99DAA">
      <w:pPr>
        <w:ind w:firstLine="560"/>
        <w:rPr>
          <w:rFonts w:hint="eastAsia" w:ascii="Times New Roman" w:hAnsi="Times New Roman" w:cs="Times New Roman"/>
        </w:rPr>
      </w:pPr>
      <w:r>
        <w:rPr>
          <w:rFonts w:hint="eastAsia"/>
        </w:rPr>
        <w:t>通过本课程教学</w:t>
      </w:r>
      <w:r>
        <w:rPr>
          <w:rFonts w:hint="eastAsia" w:ascii="Times New Roman" w:hAnsi="Times New Roman" w:cs="Times New Roman"/>
        </w:rPr>
        <w:t>，</w:t>
      </w:r>
      <w:r>
        <w:rPr>
          <w:rFonts w:hint="eastAsia" w:cs="Times New Roman"/>
          <w:lang w:val="en-US" w:eastAsia="zh-CN"/>
        </w:rPr>
        <w:t>能够培养学生</w:t>
      </w:r>
      <w:r>
        <w:rPr>
          <w:rFonts w:hint="eastAsia" w:ascii="Times New Roman" w:hAnsi="Times New Roman" w:cs="Times New Roman"/>
        </w:rPr>
        <w:t>较强的就业创业能力和可持续发展的能力，掌握本专业知识和技术技能，具备职业综合素质和行动能力，面向旅行社、旅游</w:t>
      </w:r>
      <w:r>
        <w:rPr>
          <w:rFonts w:hint="eastAsia" w:cs="Times New Roman"/>
          <w:lang w:val="en-US" w:eastAsia="zh-CN"/>
        </w:rPr>
        <w:t>市场</w:t>
      </w:r>
      <w:r>
        <w:rPr>
          <w:rFonts w:hint="eastAsia" w:ascii="Times New Roman" w:hAnsi="Times New Roman" w:cs="Times New Roman"/>
        </w:rPr>
        <w:t>运营及管理岗位群，能够从事旅行社运营、旅游产品营销、旅游服务管理及创新创业能力，具有良好的人文素养、服务意识和数字素养的高技能人才。这些技能和能力将使学生在未来的职业生涯中能够更好地适应市场需求，</w:t>
      </w:r>
      <w:r>
        <w:rPr>
          <w:rFonts w:hint="eastAsia" w:cs="Times New Roman"/>
          <w:lang w:val="en-US" w:eastAsia="zh-CN"/>
        </w:rPr>
        <w:t>提升就业竞争力，促进自身职业发展</w:t>
      </w:r>
      <w:r>
        <w:rPr>
          <w:rFonts w:hint="eastAsia" w:ascii="Times New Roman" w:hAnsi="Times New Roman" w:cs="Times New Roman"/>
        </w:rPr>
        <w:t>。</w:t>
      </w:r>
    </w:p>
    <w:p w14:paraId="70796BBD">
      <w:pPr>
        <w:pStyle w:val="2"/>
        <w:ind w:firstLine="653"/>
      </w:pPr>
      <w:bookmarkStart w:id="9" w:name="_Toc32454"/>
      <w:r>
        <w:rPr>
          <w:rFonts w:hint="eastAsia"/>
        </w:rPr>
        <w:t>三、课程目标</w:t>
      </w:r>
      <w:bookmarkEnd w:id="7"/>
      <w:bookmarkEnd w:id="8"/>
      <w:bookmarkEnd w:id="9"/>
      <w:bookmarkStart w:id="10" w:name="_Toc502337263"/>
    </w:p>
    <w:p w14:paraId="24C45105">
      <w:pPr>
        <w:ind w:firstLine="560"/>
      </w:pPr>
      <w:r>
        <w:rPr>
          <w:rFonts w:hint="eastAsia"/>
        </w:rPr>
        <w:t>完成本课程学习后，学生应当具有以下素质、知识和能力：</w:t>
      </w:r>
    </w:p>
    <w:bookmarkEnd w:id="10"/>
    <w:p w14:paraId="79F205A8">
      <w:pPr>
        <w:pStyle w:val="3"/>
        <w:numPr>
          <w:ilvl w:val="0"/>
          <w:numId w:val="2"/>
        </w:numPr>
        <w:ind w:firstLine="560"/>
      </w:pPr>
      <w:bookmarkStart w:id="11" w:name="_Toc90472987"/>
      <w:bookmarkStart w:id="12" w:name="_Toc23227"/>
      <w:bookmarkStart w:id="13" w:name="_Toc7412"/>
      <w:r>
        <w:rPr>
          <w:rFonts w:hint="eastAsia"/>
        </w:rPr>
        <w:t>素质目标</w:t>
      </w:r>
      <w:bookmarkEnd w:id="11"/>
      <w:bookmarkEnd w:id="12"/>
      <w:bookmarkEnd w:id="13"/>
      <w:bookmarkStart w:id="14" w:name="_Toc90472988"/>
      <w:bookmarkStart w:id="15" w:name="_Toc502337264"/>
      <w:bookmarkStart w:id="16" w:name="_Toc24734"/>
    </w:p>
    <w:p w14:paraId="0289005F">
      <w:pPr>
        <w:numPr>
          <w:ilvl w:val="0"/>
          <w:numId w:val="3"/>
        </w:numPr>
        <w:bidi w:val="0"/>
        <w:ind w:firstLine="560" w:firstLineChars="200"/>
        <w:rPr>
          <w:rFonts w:hint="eastAsia"/>
        </w:rPr>
      </w:pPr>
      <w:r>
        <w:rPr>
          <w:rFonts w:hint="eastAsia"/>
        </w:rPr>
        <w:t>培养职业素养</w:t>
      </w:r>
    </w:p>
    <w:p w14:paraId="66A88992">
      <w:pPr>
        <w:numPr>
          <w:ilvl w:val="0"/>
          <w:numId w:val="0"/>
        </w:numPr>
        <w:bidi w:val="0"/>
        <w:spacing w:line="240" w:lineRule="auto"/>
        <w:ind w:left="0" w:leftChars="0" w:firstLine="560" w:firstLineChars="200"/>
        <w:rPr>
          <w:rFonts w:hint="eastAsia" w:ascii="Times New Roman" w:hAnsi="Times New Roman" w:cs="Times New Roman"/>
        </w:rPr>
      </w:pPr>
      <w:r>
        <w:rPr>
          <w:rFonts w:hint="eastAsia" w:ascii="Times New Roman" w:hAnsi="Times New Roman" w:cs="Times New Roman"/>
        </w:rPr>
        <w:t>树立以“客户体验”为核心的服务价值观，培养耐心、细致的服务态度，理解旅游行业“以人为本”的管理本质；</w:t>
      </w:r>
    </w:p>
    <w:p w14:paraId="17C495D3">
      <w:pPr>
        <w:numPr>
          <w:ilvl w:val="0"/>
          <w:numId w:val="3"/>
        </w:numPr>
        <w:bidi w:val="0"/>
        <w:ind w:left="0" w:leftChars="0" w:firstLine="560" w:firstLineChars="200"/>
        <w:rPr>
          <w:rFonts w:hint="eastAsia"/>
        </w:rPr>
      </w:pPr>
      <w:r>
        <w:rPr>
          <w:rFonts w:hint="eastAsia"/>
        </w:rPr>
        <w:t>增强社会责任感</w:t>
      </w:r>
    </w:p>
    <w:p w14:paraId="04F45B5B">
      <w:pPr>
        <w:numPr>
          <w:ilvl w:val="0"/>
          <w:numId w:val="0"/>
        </w:numPr>
        <w:bidi w:val="0"/>
        <w:spacing w:line="240" w:lineRule="auto"/>
        <w:ind w:left="0" w:leftChars="0" w:firstLine="560" w:firstLineChars="200"/>
        <w:rPr>
          <w:rFonts w:hint="eastAsia"/>
        </w:rPr>
      </w:pPr>
      <w:r>
        <w:rPr>
          <w:rFonts w:hint="eastAsia"/>
        </w:rPr>
        <w:t>理解旅游活动对社会、经济、环境的影响，培养可持续发展的理念，积极参与旅游行业的公益活动；</w:t>
      </w:r>
    </w:p>
    <w:p w14:paraId="7A6B7FE2">
      <w:pPr>
        <w:numPr>
          <w:ilvl w:val="0"/>
          <w:numId w:val="3"/>
        </w:numPr>
        <w:bidi w:val="0"/>
        <w:ind w:left="0" w:leftChars="0" w:firstLine="560" w:firstLineChars="200"/>
        <w:rPr>
          <w:rFonts w:hint="eastAsia"/>
        </w:rPr>
      </w:pPr>
      <w:r>
        <w:rPr>
          <w:rFonts w:hint="eastAsia"/>
        </w:rPr>
        <w:t>提升创新意识</w:t>
      </w:r>
    </w:p>
    <w:p w14:paraId="3FE2F68C">
      <w:pPr>
        <w:numPr>
          <w:ilvl w:val="0"/>
          <w:numId w:val="0"/>
        </w:numPr>
        <w:bidi w:val="0"/>
        <w:ind w:firstLine="560" w:firstLineChars="200"/>
        <w:rPr>
          <w:rFonts w:hint="eastAsia" w:eastAsia="仿宋_GB2312"/>
          <w:lang w:eastAsia="zh-CN"/>
        </w:rPr>
      </w:pPr>
      <w:r>
        <w:rPr>
          <w:rFonts w:hint="eastAsia"/>
        </w:rPr>
        <w:t>激发学生对旅行社经营管理的创新思维，鼓励其在旅游产品设计、市场营销等方面提出创新性解决方案</w:t>
      </w:r>
      <w:r>
        <w:rPr>
          <w:rFonts w:hint="eastAsia"/>
          <w:lang w:eastAsia="zh-CN"/>
        </w:rPr>
        <w:t>。</w:t>
      </w:r>
    </w:p>
    <w:p w14:paraId="48446046">
      <w:pPr>
        <w:pStyle w:val="3"/>
        <w:numPr>
          <w:ilvl w:val="0"/>
          <w:numId w:val="2"/>
        </w:numPr>
        <w:ind w:firstLine="560"/>
      </w:pPr>
      <w:bookmarkStart w:id="17" w:name="_Toc21402"/>
      <w:r>
        <w:rPr>
          <w:rFonts w:hint="eastAsia"/>
        </w:rPr>
        <w:t>知识目标</w:t>
      </w:r>
      <w:bookmarkEnd w:id="14"/>
      <w:bookmarkEnd w:id="15"/>
      <w:bookmarkEnd w:id="16"/>
      <w:bookmarkEnd w:id="17"/>
      <w:bookmarkStart w:id="18" w:name="_Toc502337265"/>
    </w:p>
    <w:p w14:paraId="62970484">
      <w:pPr>
        <w:numPr>
          <w:ilvl w:val="0"/>
          <w:numId w:val="4"/>
        </w:numPr>
        <w:autoSpaceDE w:val="0"/>
        <w:autoSpaceDN w:val="0"/>
        <w:adjustRightInd w:val="0"/>
        <w:ind w:left="0" w:leftChars="0" w:firstLine="560" w:firstLineChars="200"/>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掌握经典管理理论</w:t>
      </w:r>
    </w:p>
    <w:p w14:paraId="173E4517">
      <w:pPr>
        <w:numPr>
          <w:ilvl w:val="0"/>
          <w:numId w:val="0"/>
        </w:numPr>
        <w:autoSpaceDE w:val="0"/>
        <w:autoSpaceDN w:val="0"/>
        <w:adjustRightInd w:val="0"/>
        <w:ind w:firstLine="560" w:firstLineChars="200"/>
        <w:rPr>
          <w:rFonts w:hint="eastAsia" w:ascii="Times New Roman" w:hAnsi="Times New Roman" w:cs="Times New Roman"/>
          <w:color w:val="000000" w:themeColor="text1"/>
          <w14:textFill>
            <w14:solidFill>
              <w14:schemeClr w14:val="tx1"/>
            </w14:solidFill>
          </w14:textFill>
        </w:rPr>
      </w:pPr>
      <w:r>
        <w:rPr>
          <w:rFonts w:hint="eastAsia" w:ascii="Times New Roman" w:hAnsi="Times New Roman" w:cs="Times New Roman"/>
          <w:color w:val="000000" w:themeColor="text1"/>
          <w14:textFill>
            <w14:solidFill>
              <w14:schemeClr w14:val="tx1"/>
            </w14:solidFill>
          </w14:textFill>
        </w:rPr>
        <w:t>掌握经典管理理论的核心观点及适用场景；</w:t>
      </w:r>
    </w:p>
    <w:p w14:paraId="4353CF47">
      <w:pPr>
        <w:numPr>
          <w:ilvl w:val="0"/>
          <w:numId w:val="4"/>
        </w:numPr>
        <w:autoSpaceDE w:val="0"/>
        <w:autoSpaceDN w:val="0"/>
        <w:adjustRightInd w:val="0"/>
        <w:ind w:left="0" w:leftChars="0" w:firstLine="560" w:firstLineChars="200"/>
        <w:rPr>
          <w:rFonts w:hint="eastAsia"/>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理解管理四大职能</w:t>
      </w:r>
    </w:p>
    <w:p w14:paraId="68C0EFD3">
      <w:pPr>
        <w:numPr>
          <w:ilvl w:val="0"/>
          <w:numId w:val="0"/>
        </w:numPr>
        <w:autoSpaceDE w:val="0"/>
        <w:autoSpaceDN w:val="0"/>
        <w:adjustRightInd w:val="0"/>
        <w:ind w:firstLine="560" w:firstLineChars="200"/>
        <w:rPr>
          <w:rFonts w:hint="eastAsia" w:ascii="Times New Roman" w:hAnsi="Times New Roman" w:cs="Times New Roman"/>
          <w:color w:val="000000" w:themeColor="text1"/>
          <w14:textFill>
            <w14:solidFill>
              <w14:schemeClr w14:val="tx1"/>
            </w14:solidFill>
          </w14:textFill>
        </w:rPr>
      </w:pPr>
      <w:r>
        <w:rPr>
          <w:rFonts w:hint="eastAsia" w:ascii="Times New Roman" w:hAnsi="Times New Roman" w:cs="Times New Roman"/>
          <w:color w:val="000000" w:themeColor="text1"/>
          <w14:textFill>
            <w14:solidFill>
              <w14:schemeClr w14:val="tx1"/>
            </w14:solidFill>
          </w14:textFill>
        </w:rPr>
        <w:t>理解管理四大职能的逻辑框架与相互关系；</w:t>
      </w:r>
    </w:p>
    <w:p w14:paraId="7C38D6DB">
      <w:pPr>
        <w:numPr>
          <w:ilvl w:val="0"/>
          <w:numId w:val="4"/>
        </w:numPr>
        <w:autoSpaceDE w:val="0"/>
        <w:autoSpaceDN w:val="0"/>
        <w:adjustRightInd w:val="0"/>
        <w:ind w:left="0" w:leftChars="0"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熟悉市场营销与客户管理</w:t>
      </w:r>
    </w:p>
    <w:p w14:paraId="10BD05A3">
      <w:pPr>
        <w:numPr>
          <w:ilvl w:val="0"/>
          <w:numId w:val="0"/>
        </w:numPr>
        <w:autoSpaceDE w:val="0"/>
        <w:autoSpaceDN w:val="0"/>
        <w:adjustRightInd w:val="0"/>
        <w:ind w:firstLine="560" w:firstLineChars="200"/>
        <w:rPr>
          <w:rFonts w:hint="eastAsia" w:cs="宋体"/>
          <w:color w:val="000000" w:themeColor="text1"/>
          <w14:textFill>
            <w14:solidFill>
              <w14:schemeClr w14:val="tx1"/>
            </w14:solidFill>
          </w14:textFill>
        </w:rPr>
      </w:pPr>
      <w:r>
        <w:rPr>
          <w:rFonts w:hint="eastAsia"/>
          <w:color w:val="000000" w:themeColor="text1"/>
          <w14:textFill>
            <w14:solidFill>
              <w14:schemeClr w14:val="tx1"/>
            </w14:solidFill>
          </w14:textFill>
        </w:rPr>
        <w:t>掌握旅游市场营销的基本理论与方法，了解旅游市场细分、目标市场选择、营销策略制定等内容，熟悉客户关系管理的基本流程和技巧。</w:t>
      </w:r>
    </w:p>
    <w:p w14:paraId="321C3F32">
      <w:pPr>
        <w:pStyle w:val="3"/>
        <w:numPr>
          <w:ilvl w:val="0"/>
          <w:numId w:val="2"/>
        </w:numPr>
        <w:ind w:firstLine="560"/>
      </w:pPr>
      <w:bookmarkStart w:id="19" w:name="_Toc90472989"/>
      <w:bookmarkStart w:id="20" w:name="_Toc12623"/>
      <w:bookmarkStart w:id="21" w:name="_Toc17716"/>
      <w:r>
        <w:rPr>
          <w:rFonts w:hint="eastAsia"/>
        </w:rPr>
        <w:t>能力目标</w:t>
      </w:r>
      <w:bookmarkEnd w:id="18"/>
      <w:bookmarkEnd w:id="19"/>
      <w:bookmarkEnd w:id="20"/>
      <w:bookmarkEnd w:id="21"/>
    </w:p>
    <w:p w14:paraId="2FD01A76">
      <w:pPr>
        <w:numPr>
          <w:ilvl w:val="0"/>
          <w:numId w:val="5"/>
        </w:numPr>
        <w:autoSpaceDE w:val="0"/>
        <w:autoSpaceDN w:val="0"/>
        <w:adjustRightInd w:val="0"/>
        <w:ind w:firstLine="560" w:firstLineChars="200"/>
        <w:rPr>
          <w:rFonts w:hint="eastAsia"/>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分析与解决问题能力</w:t>
      </w:r>
    </w:p>
    <w:p w14:paraId="11F62CA8">
      <w:pPr>
        <w:numPr>
          <w:ilvl w:val="0"/>
          <w:numId w:val="0"/>
        </w:numPr>
        <w:autoSpaceDE w:val="0"/>
        <w:autoSpaceDN w:val="0"/>
        <w:adjustRightInd w:val="0"/>
        <w:ind w:firstLine="560" w:firstLineChars="200"/>
        <w:rPr>
          <w:rFonts w:hint="eastAsia" w:ascii="Times New Roman" w:hAnsi="Times New Roman" w:cs="Times New Roman"/>
          <w:color w:val="000000" w:themeColor="text1"/>
          <w14:textFill>
            <w14:solidFill>
              <w14:schemeClr w14:val="tx1"/>
            </w14:solidFill>
          </w14:textFill>
        </w:rPr>
      </w:pPr>
      <w:r>
        <w:rPr>
          <w:rFonts w:hint="eastAsia" w:ascii="Times New Roman" w:hAnsi="Times New Roman" w:cs="Times New Roman"/>
          <w:color w:val="000000" w:themeColor="text1"/>
          <w14:textFill>
            <w14:solidFill>
              <w14:schemeClr w14:val="tx1"/>
            </w14:solidFill>
          </w14:textFill>
        </w:rPr>
        <w:t>能运用管理理论分析旅游企业实际问题，并提出系统性解决方案；</w:t>
      </w:r>
    </w:p>
    <w:p w14:paraId="12EDADBA">
      <w:pPr>
        <w:numPr>
          <w:ilvl w:val="0"/>
          <w:numId w:val="0"/>
        </w:numPr>
        <w:autoSpaceDE w:val="0"/>
        <w:autoSpaceDN w:val="0"/>
        <w:adjustRightInd w:val="0"/>
        <w:ind w:firstLine="560" w:firstLineChars="200"/>
        <w:rPr>
          <w:rFonts w:hint="eastAsia" w:ascii="Times New Roman" w:hAnsi="Times New Roman" w:cs="Times New Roman"/>
          <w:color w:val="000000" w:themeColor="text1"/>
          <w14:textFill>
            <w14:solidFill>
              <w14:schemeClr w14:val="tx1"/>
            </w14:solidFill>
          </w14:textFill>
        </w:rPr>
      </w:pPr>
      <w:r>
        <w:rPr>
          <w:rFonts w:hint="eastAsia" w:ascii="Times New Roman" w:hAnsi="Times New Roman" w:cs="Times New Roman"/>
          <w:color w:val="000000" w:themeColor="text1"/>
          <w14:textFill>
            <w14:solidFill>
              <w14:schemeClr w14:val="tx1"/>
            </w14:solidFill>
          </w14:textFill>
        </w:rPr>
        <w:t>能运用数字化工具（如</w:t>
      </w:r>
      <w:r>
        <w:rPr>
          <w:rFonts w:hint="eastAsia" w:cs="Times New Roman"/>
          <w:color w:val="000000" w:themeColor="text1"/>
          <w:lang w:val="en-US" w:eastAsia="zh-CN"/>
          <w14:textFill>
            <w14:solidFill>
              <w14:schemeClr w14:val="tx1"/>
            </w14:solidFill>
          </w14:textFill>
        </w:rPr>
        <w:t>BI</w:t>
      </w:r>
      <w:r>
        <w:rPr>
          <w:rFonts w:hint="eastAsia" w:ascii="Times New Roman" w:hAnsi="Times New Roman" w:cs="Times New Roman"/>
          <w:color w:val="000000" w:themeColor="text1"/>
          <w14:textFill>
            <w14:solidFill>
              <w14:schemeClr w14:val="tx1"/>
            </w14:solidFill>
          </w14:textFill>
        </w:rPr>
        <w:t>软件）进行旅游市场大数据分析，识别潜在问题与机会；</w:t>
      </w:r>
    </w:p>
    <w:p w14:paraId="4A22A800">
      <w:pPr>
        <w:numPr>
          <w:ilvl w:val="0"/>
          <w:numId w:val="0"/>
        </w:numPr>
        <w:autoSpaceDE w:val="0"/>
        <w:autoSpaceDN w:val="0"/>
        <w:adjustRightInd w:val="0"/>
        <w:ind w:firstLine="560" w:firstLineChars="200"/>
        <w:rPr>
          <w:rFonts w:hint="eastAsia" w:ascii="Times New Roman" w:hAnsi="Times New Roman" w:cs="Times New Roman"/>
          <w:color w:val="000000" w:themeColor="text1"/>
          <w14:textFill>
            <w14:solidFill>
              <w14:schemeClr w14:val="tx1"/>
            </w14:solidFill>
          </w14:textFill>
        </w:rPr>
      </w:pPr>
      <w:r>
        <w:rPr>
          <w:rFonts w:hint="eastAsia" w:ascii="Times New Roman" w:hAnsi="Times New Roman" w:cs="Times New Roman"/>
          <w:color w:val="000000" w:themeColor="text1"/>
          <w14:textFill>
            <w14:solidFill>
              <w14:schemeClr w14:val="tx1"/>
            </w14:solidFill>
          </w14:textFill>
        </w:rPr>
        <w:t>能基于人工智能模型预测客流、收益与风险，为管理决策提供数据支持。</w:t>
      </w:r>
    </w:p>
    <w:p w14:paraId="27A2247C">
      <w:pPr>
        <w:numPr>
          <w:ilvl w:val="0"/>
          <w:numId w:val="5"/>
        </w:numPr>
        <w:autoSpaceDE w:val="0"/>
        <w:autoSpaceDN w:val="0"/>
        <w:adjustRightInd w:val="0"/>
        <w:ind w:left="0" w:leftChars="0" w:firstLine="560" w:firstLineChars="200"/>
        <w:rPr>
          <w:rFonts w:hint="eastAsia"/>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管理职能实操能力</w:t>
      </w:r>
    </w:p>
    <w:p w14:paraId="7A015787">
      <w:pPr>
        <w:numPr>
          <w:ilvl w:val="0"/>
          <w:numId w:val="0"/>
        </w:numPr>
        <w:autoSpaceDE w:val="0"/>
        <w:autoSpaceDN w:val="0"/>
        <w:adjustRightInd w:val="0"/>
        <w:ind w:firstLine="560" w:firstLineChars="200"/>
        <w:rPr>
          <w:rFonts w:hint="eastAsia" w:ascii="Times New Roman" w:hAnsi="Times New Roman" w:cs="Times New Roman"/>
          <w:color w:val="000000" w:themeColor="text1"/>
          <w14:textFill>
            <w14:solidFill>
              <w14:schemeClr w14:val="tx1"/>
            </w14:solidFill>
          </w14:textFill>
        </w:rPr>
      </w:pPr>
      <w:r>
        <w:rPr>
          <w:rFonts w:hint="eastAsia" w:ascii="Times New Roman" w:hAnsi="Times New Roman" w:cs="Times New Roman"/>
          <w:color w:val="000000" w:themeColor="text1"/>
          <w14:textFill>
            <w14:solidFill>
              <w14:schemeClr w14:val="tx1"/>
            </w14:solidFill>
          </w14:textFill>
        </w:rPr>
        <w:t>能制定旅游企业短期计划或长期战略，并设置可量化目标；</w:t>
      </w:r>
    </w:p>
    <w:p w14:paraId="522ED965">
      <w:pPr>
        <w:numPr>
          <w:ilvl w:val="0"/>
          <w:numId w:val="0"/>
        </w:numPr>
        <w:autoSpaceDE w:val="0"/>
        <w:autoSpaceDN w:val="0"/>
        <w:adjustRightInd w:val="0"/>
        <w:ind w:firstLine="560" w:firstLineChars="200"/>
        <w:rPr>
          <w:rFonts w:hint="eastAsia" w:ascii="Times New Roman" w:hAnsi="Times New Roman" w:cs="Times New Roman"/>
          <w:color w:val="000000" w:themeColor="text1"/>
          <w14:textFill>
            <w14:solidFill>
              <w14:schemeClr w14:val="tx1"/>
            </w14:solidFill>
          </w14:textFill>
        </w:rPr>
      </w:pPr>
      <w:r>
        <w:rPr>
          <w:rFonts w:hint="eastAsia" w:ascii="Times New Roman" w:hAnsi="Times New Roman" w:cs="Times New Roman"/>
          <w:color w:val="000000" w:themeColor="text1"/>
          <w14:textFill>
            <w14:solidFill>
              <w14:schemeClr w14:val="tx1"/>
            </w14:solidFill>
          </w14:textFill>
        </w:rPr>
        <w:t>能设计旅游团队的分工协作模式，优化服务流程，借助</w:t>
      </w:r>
      <w:r>
        <w:rPr>
          <w:rFonts w:hint="eastAsia" w:cs="Times New Roman"/>
          <w:color w:val="000000" w:themeColor="text1"/>
          <w:lang w:val="en-US" w:eastAsia="zh-CN"/>
          <w14:textFill>
            <w14:solidFill>
              <w14:schemeClr w14:val="tx1"/>
            </w14:solidFill>
          </w14:textFill>
        </w:rPr>
        <w:t>大数据智能</w:t>
      </w:r>
      <w:r>
        <w:rPr>
          <w:rFonts w:hint="eastAsia" w:ascii="Times New Roman" w:hAnsi="Times New Roman" w:cs="Times New Roman"/>
          <w:color w:val="000000" w:themeColor="text1"/>
          <w14:textFill>
            <w14:solidFill>
              <w14:schemeClr w14:val="tx1"/>
            </w14:solidFill>
          </w14:textFill>
        </w:rPr>
        <w:t>工具实现流程自动化与智能调度；</w:t>
      </w:r>
    </w:p>
    <w:p w14:paraId="3AC965EE">
      <w:pPr>
        <w:numPr>
          <w:ilvl w:val="0"/>
          <w:numId w:val="0"/>
        </w:numPr>
        <w:autoSpaceDE w:val="0"/>
        <w:autoSpaceDN w:val="0"/>
        <w:adjustRightInd w:val="0"/>
        <w:ind w:firstLine="560" w:firstLineChars="200"/>
        <w:rPr>
          <w:rFonts w:hint="eastAsia" w:ascii="Times New Roman" w:hAnsi="Times New Roman" w:cs="Times New Roman"/>
          <w:color w:val="000000" w:themeColor="text1"/>
          <w:lang w:eastAsia="zh-CN"/>
          <w14:textFill>
            <w14:solidFill>
              <w14:schemeClr w14:val="tx1"/>
            </w14:solidFill>
          </w14:textFill>
        </w:rPr>
      </w:pPr>
      <w:r>
        <w:rPr>
          <w:rFonts w:hint="eastAsia" w:ascii="Times New Roman" w:hAnsi="Times New Roman" w:cs="Times New Roman"/>
          <w:color w:val="000000" w:themeColor="text1"/>
          <w14:textFill>
            <w14:solidFill>
              <w14:schemeClr w14:val="tx1"/>
            </w14:solidFill>
          </w14:textFill>
        </w:rPr>
        <w:t>能运用激励理论与数字化绩效平台提升团队积极性，有效沟通并协调跨部门合作。</w:t>
      </w:r>
    </w:p>
    <w:p w14:paraId="686119D0">
      <w:pPr>
        <w:numPr>
          <w:ilvl w:val="0"/>
          <w:numId w:val="5"/>
        </w:numPr>
        <w:autoSpaceDE w:val="0"/>
        <w:autoSpaceDN w:val="0"/>
        <w:adjustRightInd w:val="0"/>
        <w:ind w:left="0" w:leftChars="0" w:firstLine="560" w:firstLineChars="200"/>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具备客户服务与管理能力</w:t>
      </w:r>
    </w:p>
    <w:p w14:paraId="14C13738">
      <w:pPr>
        <w:numPr>
          <w:ilvl w:val="0"/>
          <w:numId w:val="0"/>
        </w:numPr>
        <w:autoSpaceDE w:val="0"/>
        <w:autoSpaceDN w:val="0"/>
        <w:adjustRightInd w:val="0"/>
        <w:ind w:firstLine="560" w:firstLineChars="200"/>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能够为游客提供专业的旅游咨询服务，处理旅游过程中的各种问题和投诉；</w:t>
      </w:r>
    </w:p>
    <w:p w14:paraId="589230D2">
      <w:pPr>
        <w:numPr>
          <w:ilvl w:val="0"/>
          <w:numId w:val="0"/>
        </w:numPr>
        <w:autoSpaceDE w:val="0"/>
        <w:autoSpaceDN w:val="0"/>
        <w:adjustRightInd w:val="0"/>
        <w:ind w:firstLine="560" w:firstLineChars="200"/>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能够运用大数据分析洞察游客需求与行为，实现精准营销与个性化服务；</w:t>
      </w:r>
    </w:p>
    <w:p w14:paraId="7AB24737">
      <w:pPr>
        <w:numPr>
          <w:ilvl w:val="0"/>
          <w:numId w:val="0"/>
        </w:numPr>
        <w:autoSpaceDE w:val="0"/>
        <w:autoSpaceDN w:val="0"/>
        <w:adjustRightInd w:val="0"/>
        <w:ind w:firstLine="560" w:firstLineChars="200"/>
        <w:rPr>
          <w:rFonts w:hint="eastAsia" w:cs="宋体"/>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具备良好的沟通能力、应变能力和客户关系维护能力，提升客户服务效率与满意度</w:t>
      </w:r>
      <w:r>
        <w:rPr>
          <w:rFonts w:hint="eastAsia"/>
          <w:color w:val="000000" w:themeColor="text1"/>
          <w14:textFill>
            <w14:solidFill>
              <w14:schemeClr w14:val="tx1"/>
            </w14:solidFill>
          </w14:textFill>
        </w:rPr>
        <w:t>。</w:t>
      </w:r>
    </w:p>
    <w:p w14:paraId="45BBEF9A">
      <w:pPr>
        <w:pStyle w:val="2"/>
        <w:ind w:firstLine="653"/>
      </w:pPr>
      <w:bookmarkStart w:id="22" w:name="_Toc11296"/>
      <w:bookmarkStart w:id="23" w:name="_Toc5235"/>
      <w:r>
        <w:rPr>
          <w:rFonts w:hint="eastAsia"/>
        </w:rPr>
        <w:t>四、课程职业能力分析</w:t>
      </w:r>
      <w:bookmarkEnd w:id="22"/>
      <w:bookmarkEnd w:id="23"/>
    </w:p>
    <w:p w14:paraId="51903F9A">
      <w:pPr>
        <w:widowControl/>
        <w:spacing w:before="156" w:beforeLines="50"/>
        <w:ind w:firstLine="0" w:firstLineChars="0"/>
        <w:jc w:val="center"/>
        <w:rPr>
          <w:rFonts w:ascii="仿宋_GB2312" w:hAnsi="仿宋_GB2312" w:cs="仿宋_GB2312"/>
          <w:b/>
          <w:color w:val="000000"/>
          <w:sz w:val="24"/>
          <w:szCs w:val="24"/>
          <w:highlight w:val="none"/>
        </w:rPr>
      </w:pPr>
      <w:r>
        <w:rPr>
          <w:rFonts w:hint="eastAsia" w:ascii="仿宋_GB2312" w:hAnsi="仿宋_GB2312" w:cs="仿宋_GB2312"/>
          <w:b/>
          <w:color w:val="000000"/>
          <w:sz w:val="24"/>
          <w:szCs w:val="24"/>
          <w:highlight w:val="none"/>
        </w:rPr>
        <w:t>表2. 课程职业能力分析表</w:t>
      </w:r>
    </w:p>
    <w:tbl>
      <w:tblPr>
        <w:tblStyle w:val="15"/>
        <w:tblW w:w="93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4"/>
        <w:gridCol w:w="1059"/>
        <w:gridCol w:w="1107"/>
        <w:gridCol w:w="4777"/>
        <w:gridCol w:w="1301"/>
      </w:tblGrid>
      <w:tr w14:paraId="1DB7A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1154" w:type="dxa"/>
            <w:tcBorders>
              <w:top w:val="single" w:color="auto" w:sz="12" w:space="0"/>
              <w:left w:val="single" w:color="auto" w:sz="12" w:space="0"/>
              <w:bottom w:val="single" w:color="auto" w:sz="4" w:space="0"/>
              <w:right w:val="single" w:color="auto" w:sz="4" w:space="0"/>
            </w:tcBorders>
            <w:shd w:val="clear" w:color="auto" w:fill="auto"/>
            <w:vAlign w:val="center"/>
          </w:tcPr>
          <w:p w14:paraId="7DB6B07E">
            <w:pPr>
              <w:widowControl/>
              <w:spacing w:line="400" w:lineRule="exact"/>
              <w:ind w:firstLine="0" w:firstLineChars="0"/>
              <w:jc w:val="center"/>
              <w:rPr>
                <w:rFonts w:hint="eastAsia" w:ascii="黑体" w:hAnsi="黑体" w:eastAsia="黑体" w:cs="黑体"/>
                <w:b w:val="0"/>
                <w:bCs/>
                <w:color w:val="auto"/>
                <w:kern w:val="0"/>
                <w:sz w:val="24"/>
                <w:szCs w:val="24"/>
              </w:rPr>
            </w:pPr>
            <w:bookmarkStart w:id="24" w:name="_Toc30005"/>
            <w:bookmarkStart w:id="25" w:name="_Toc502337266"/>
            <w:r>
              <w:rPr>
                <w:rFonts w:hint="eastAsia" w:ascii="黑体" w:hAnsi="黑体" w:eastAsia="黑体" w:cs="黑体"/>
                <w:b w:val="0"/>
                <w:bCs/>
                <w:color w:val="auto"/>
                <w:kern w:val="0"/>
                <w:sz w:val="24"/>
                <w:szCs w:val="24"/>
              </w:rPr>
              <w:t>工作</w:t>
            </w:r>
            <w:r>
              <w:rPr>
                <w:rFonts w:hint="eastAsia" w:ascii="黑体" w:hAnsi="黑体" w:eastAsia="黑体" w:cs="黑体"/>
                <w:b w:val="0"/>
                <w:bCs/>
                <w:color w:val="auto"/>
                <w:kern w:val="0"/>
                <w:sz w:val="24"/>
                <w:szCs w:val="24"/>
                <w:lang w:val="en-US" w:eastAsia="zh-CN"/>
              </w:rPr>
              <w:t xml:space="preserve">  </w:t>
            </w:r>
            <w:r>
              <w:rPr>
                <w:rFonts w:hint="eastAsia" w:ascii="黑体" w:hAnsi="黑体" w:eastAsia="黑体" w:cs="黑体"/>
                <w:b w:val="0"/>
                <w:bCs/>
                <w:color w:val="auto"/>
                <w:kern w:val="0"/>
                <w:sz w:val="24"/>
                <w:szCs w:val="24"/>
              </w:rPr>
              <w:t>岗位</w:t>
            </w:r>
          </w:p>
        </w:tc>
        <w:tc>
          <w:tcPr>
            <w:tcW w:w="1059" w:type="dxa"/>
            <w:tcBorders>
              <w:top w:val="single" w:color="auto" w:sz="12" w:space="0"/>
              <w:left w:val="single" w:color="auto" w:sz="4" w:space="0"/>
              <w:bottom w:val="single" w:color="auto" w:sz="4" w:space="0"/>
              <w:right w:val="single" w:color="auto" w:sz="4" w:space="0"/>
            </w:tcBorders>
            <w:shd w:val="clear" w:color="auto" w:fill="auto"/>
            <w:vAlign w:val="center"/>
          </w:tcPr>
          <w:p w14:paraId="33FD554D">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工作</w:t>
            </w:r>
            <w:r>
              <w:rPr>
                <w:rFonts w:hint="eastAsia" w:ascii="黑体" w:hAnsi="黑体" w:eastAsia="黑体" w:cs="黑体"/>
                <w:b w:val="0"/>
                <w:bCs/>
                <w:color w:val="auto"/>
                <w:kern w:val="0"/>
                <w:sz w:val="24"/>
                <w:szCs w:val="24"/>
                <w:lang w:val="en-US" w:eastAsia="zh-CN"/>
              </w:rPr>
              <w:t xml:space="preserve">   </w:t>
            </w:r>
            <w:r>
              <w:rPr>
                <w:rFonts w:hint="eastAsia" w:ascii="黑体" w:hAnsi="黑体" w:eastAsia="黑体" w:cs="黑体"/>
                <w:b w:val="0"/>
                <w:bCs/>
                <w:color w:val="auto"/>
                <w:kern w:val="0"/>
                <w:sz w:val="24"/>
                <w:szCs w:val="24"/>
              </w:rPr>
              <w:t>任务</w:t>
            </w:r>
          </w:p>
        </w:tc>
        <w:tc>
          <w:tcPr>
            <w:tcW w:w="1107" w:type="dxa"/>
            <w:tcBorders>
              <w:top w:val="single" w:color="auto" w:sz="12" w:space="0"/>
              <w:left w:val="single" w:color="auto" w:sz="4" w:space="0"/>
              <w:bottom w:val="single" w:color="auto" w:sz="4" w:space="0"/>
              <w:right w:val="single" w:color="auto" w:sz="4" w:space="0"/>
            </w:tcBorders>
            <w:vAlign w:val="center"/>
          </w:tcPr>
          <w:p w14:paraId="2349EB7B">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工作</w:t>
            </w:r>
            <w:r>
              <w:rPr>
                <w:rFonts w:hint="eastAsia" w:ascii="黑体" w:hAnsi="黑体" w:eastAsia="黑体" w:cs="黑体"/>
                <w:b w:val="0"/>
                <w:bCs/>
                <w:color w:val="auto"/>
                <w:kern w:val="0"/>
                <w:sz w:val="24"/>
                <w:szCs w:val="24"/>
                <w:lang w:val="en-US" w:eastAsia="zh-CN"/>
              </w:rPr>
              <w:t xml:space="preserve">   </w:t>
            </w:r>
            <w:r>
              <w:rPr>
                <w:rFonts w:hint="eastAsia" w:ascii="黑体" w:hAnsi="黑体" w:eastAsia="黑体" w:cs="黑体"/>
                <w:b w:val="0"/>
                <w:bCs/>
                <w:color w:val="auto"/>
                <w:kern w:val="0"/>
                <w:sz w:val="24"/>
                <w:szCs w:val="24"/>
              </w:rPr>
              <w:t>内容</w:t>
            </w:r>
          </w:p>
        </w:tc>
        <w:tc>
          <w:tcPr>
            <w:tcW w:w="4777" w:type="dxa"/>
            <w:tcBorders>
              <w:top w:val="single" w:color="auto" w:sz="12" w:space="0"/>
              <w:left w:val="single" w:color="auto" w:sz="4" w:space="0"/>
              <w:bottom w:val="single" w:color="auto" w:sz="4" w:space="0"/>
              <w:right w:val="single" w:color="auto" w:sz="4" w:space="0"/>
            </w:tcBorders>
            <w:shd w:val="clear" w:color="auto" w:fill="auto"/>
            <w:vAlign w:val="center"/>
          </w:tcPr>
          <w:p w14:paraId="2F2D7572">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技能点</w:t>
            </w:r>
          </w:p>
        </w:tc>
        <w:tc>
          <w:tcPr>
            <w:tcW w:w="1301" w:type="dxa"/>
            <w:tcBorders>
              <w:top w:val="single" w:color="auto" w:sz="12" w:space="0"/>
              <w:left w:val="single" w:color="auto" w:sz="4" w:space="0"/>
              <w:bottom w:val="single" w:color="auto" w:sz="4" w:space="0"/>
              <w:right w:val="single" w:color="auto" w:sz="12" w:space="0"/>
            </w:tcBorders>
            <w:shd w:val="clear" w:color="auto" w:fill="auto"/>
            <w:vAlign w:val="center"/>
          </w:tcPr>
          <w:p w14:paraId="574BDC2C">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知识点</w:t>
            </w:r>
          </w:p>
        </w:tc>
      </w:tr>
      <w:tr w14:paraId="6D5F5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1154" w:type="dxa"/>
            <w:tcBorders>
              <w:top w:val="single" w:color="auto" w:sz="4" w:space="0"/>
              <w:left w:val="single" w:color="auto" w:sz="12" w:space="0"/>
              <w:right w:val="single" w:color="auto" w:sz="4" w:space="0"/>
            </w:tcBorders>
            <w:shd w:val="clear" w:color="auto" w:fill="auto"/>
            <w:vAlign w:val="center"/>
          </w:tcPr>
          <w:p w14:paraId="3EBF03A1">
            <w:pPr>
              <w:ind w:firstLine="0" w:firstLineChars="0"/>
              <w:jc w:val="center"/>
              <w:rPr>
                <w:rFonts w:hint="default" w:ascii="仿宋" w:hAnsi="仿宋" w:eastAsia="仿宋"/>
                <w:bCs/>
                <w:color w:val="auto"/>
                <w:sz w:val="24"/>
                <w:szCs w:val="24"/>
                <w:highlight w:val="none"/>
                <w:lang w:val="en-US" w:eastAsia="zh-CN"/>
              </w:rPr>
            </w:pPr>
            <w:r>
              <w:rPr>
                <w:rFonts w:hint="default" w:ascii="仿宋" w:hAnsi="仿宋" w:eastAsia="仿宋"/>
                <w:bCs/>
                <w:color w:val="auto"/>
                <w:sz w:val="24"/>
                <w:szCs w:val="24"/>
                <w:highlight w:val="none"/>
                <w:lang w:val="en-US" w:eastAsia="zh-CN"/>
              </w:rPr>
              <w:t>导游</w:t>
            </w:r>
          </w:p>
          <w:p w14:paraId="61276560">
            <w:pPr>
              <w:ind w:firstLine="0" w:firstLineChars="0"/>
              <w:jc w:val="center"/>
              <w:rPr>
                <w:rFonts w:hint="default" w:ascii="仿宋" w:hAnsi="仿宋" w:eastAsia="仿宋"/>
                <w:bCs/>
                <w:color w:val="auto"/>
                <w:sz w:val="24"/>
                <w:szCs w:val="24"/>
                <w:highlight w:val="none"/>
                <w:lang w:val="en-US" w:eastAsia="zh-CN"/>
              </w:rPr>
            </w:pPr>
            <w:r>
              <w:rPr>
                <w:rFonts w:hint="default" w:ascii="仿宋" w:hAnsi="仿宋" w:eastAsia="仿宋"/>
                <w:bCs/>
                <w:color w:val="auto"/>
                <w:sz w:val="24"/>
                <w:szCs w:val="24"/>
                <w:highlight w:val="none"/>
                <w:lang w:val="en-US" w:eastAsia="zh-CN"/>
              </w:rPr>
              <w:t>（4-07-04-01）</w:t>
            </w:r>
          </w:p>
          <w:p w14:paraId="52ACB8F9">
            <w:pPr>
              <w:ind w:firstLine="0" w:firstLineChars="0"/>
              <w:jc w:val="center"/>
              <w:rPr>
                <w:rFonts w:hint="default" w:ascii="仿宋" w:hAnsi="仿宋" w:eastAsia="仿宋"/>
                <w:bCs/>
                <w:color w:val="auto"/>
                <w:sz w:val="24"/>
                <w:szCs w:val="24"/>
                <w:highlight w:val="none"/>
                <w:lang w:val="en-US" w:eastAsia="zh-CN"/>
              </w:rPr>
            </w:pPr>
            <w:r>
              <w:rPr>
                <w:rFonts w:hint="eastAsia" w:ascii="仿宋" w:hAnsi="仿宋" w:eastAsia="仿宋" w:cs="仿宋"/>
                <w:color w:val="000000"/>
                <w:kern w:val="0"/>
                <w:sz w:val="24"/>
                <w:szCs w:val="24"/>
                <w:lang w:bidi="ar"/>
              </w:rPr>
              <w:t>旅游团队领队 （4-07-04-02）旅行社计调（4-07-04-03）</w:t>
            </w:r>
          </w:p>
          <w:p w14:paraId="4DD9E6CF">
            <w:pPr>
              <w:ind w:firstLine="0" w:firstLineChars="0"/>
              <w:jc w:val="left"/>
              <w:rPr>
                <w:rFonts w:hint="default" w:ascii="仿宋" w:hAnsi="仿宋" w:eastAsia="仿宋"/>
                <w:bCs/>
                <w:color w:val="auto"/>
                <w:sz w:val="24"/>
                <w:szCs w:val="24"/>
                <w:highlight w:val="none"/>
                <w:lang w:val="en-US" w:eastAsia="zh-CN"/>
              </w:rPr>
            </w:pPr>
          </w:p>
        </w:tc>
        <w:tc>
          <w:tcPr>
            <w:tcW w:w="1059" w:type="dxa"/>
            <w:tcBorders>
              <w:top w:val="single" w:color="auto" w:sz="4" w:space="0"/>
              <w:left w:val="single" w:color="auto" w:sz="4" w:space="0"/>
              <w:right w:val="single" w:color="auto" w:sz="4" w:space="0"/>
            </w:tcBorders>
            <w:shd w:val="clear" w:color="auto" w:fill="auto"/>
            <w:vAlign w:val="center"/>
          </w:tcPr>
          <w:p w14:paraId="74B5FD08">
            <w:pPr>
              <w:pStyle w:val="33"/>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1.执行旅游行程，服务游客；</w:t>
            </w:r>
          </w:p>
          <w:p w14:paraId="0B53C2CA">
            <w:pPr>
              <w:pStyle w:val="33"/>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2.制定接待计划并下发至旅游团、导游，安排和协调旅游出团；</w:t>
            </w:r>
          </w:p>
          <w:p w14:paraId="2636E73A">
            <w:pPr>
              <w:pStyle w:val="33"/>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3.推广产品，拓展市场，提升销量。</w:t>
            </w:r>
          </w:p>
          <w:p w14:paraId="2C3395C6">
            <w:pPr>
              <w:pStyle w:val="33"/>
              <w:spacing w:line="240" w:lineRule="auto"/>
              <w:ind w:firstLine="0" w:firstLineChars="0"/>
              <w:rPr>
                <w:rFonts w:hint="eastAsia" w:ascii="仿宋" w:hAnsi="仿宋" w:eastAsia="仿宋" w:cs="仿宋"/>
                <w:color w:val="auto"/>
                <w:sz w:val="24"/>
                <w:szCs w:val="24"/>
                <w:highlight w:val="none"/>
                <w:lang w:val="en-US"/>
              </w:rPr>
            </w:pPr>
          </w:p>
        </w:tc>
        <w:tc>
          <w:tcPr>
            <w:tcW w:w="1107" w:type="dxa"/>
            <w:tcBorders>
              <w:top w:val="single" w:color="auto" w:sz="4" w:space="0"/>
              <w:left w:val="single" w:color="auto" w:sz="4" w:space="0"/>
              <w:right w:val="single" w:color="auto" w:sz="4" w:space="0"/>
            </w:tcBorders>
            <w:vAlign w:val="center"/>
          </w:tcPr>
          <w:p w14:paraId="19930717">
            <w:pPr>
              <w:pStyle w:val="33"/>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rPr>
              <w:t>1.执行行程，带领游客，介绍文化景点，衔接食住行，保障安全，处理突发；</w:t>
            </w:r>
          </w:p>
          <w:p w14:paraId="5922FC0D">
            <w:pPr>
              <w:pStyle w:val="33"/>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lang w:val="en-US"/>
              </w:rPr>
              <w:t>考察线路，设计产品，预订服务，核算成本，制订营销方案，安排导游，协调行程，处理突发，结算费用；</w:t>
            </w:r>
          </w:p>
          <w:p w14:paraId="0F7C21DD">
            <w:pPr>
              <w:pStyle w:val="33"/>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w:t>
            </w:r>
            <w:r>
              <w:rPr>
                <w:rFonts w:hint="eastAsia" w:ascii="仿宋" w:hAnsi="仿宋" w:eastAsia="仿宋" w:cs="仿宋"/>
                <w:color w:val="auto"/>
                <w:sz w:val="24"/>
                <w:szCs w:val="24"/>
                <w:highlight w:val="none"/>
                <w:lang w:val="en-US"/>
              </w:rPr>
              <w:t>调研市场，策划推广，销售产品，维护客户</w:t>
            </w:r>
            <w:r>
              <w:rPr>
                <w:rFonts w:hint="eastAsia" w:ascii="仿宋" w:hAnsi="仿宋" w:eastAsia="仿宋" w:cs="仿宋"/>
                <w:color w:val="auto"/>
                <w:sz w:val="24"/>
                <w:szCs w:val="24"/>
                <w:highlight w:val="none"/>
                <w:lang w:val="en-US" w:eastAsia="zh-CN"/>
              </w:rPr>
              <w:t>，广告策划。</w:t>
            </w:r>
          </w:p>
          <w:p w14:paraId="5DE41838">
            <w:pPr>
              <w:pStyle w:val="33"/>
              <w:spacing w:line="240" w:lineRule="auto"/>
              <w:ind w:firstLine="0" w:firstLineChars="0"/>
              <w:rPr>
                <w:rFonts w:hint="eastAsia" w:ascii="仿宋" w:hAnsi="仿宋" w:eastAsia="仿宋" w:cs="仿宋"/>
                <w:color w:val="auto"/>
                <w:sz w:val="24"/>
                <w:szCs w:val="24"/>
                <w:highlight w:val="none"/>
                <w:lang w:val="en-US" w:eastAsia="zh-CN"/>
              </w:rPr>
            </w:pPr>
          </w:p>
        </w:tc>
        <w:tc>
          <w:tcPr>
            <w:tcW w:w="4777" w:type="dxa"/>
            <w:tcBorders>
              <w:top w:val="single" w:color="auto" w:sz="4" w:space="0"/>
              <w:left w:val="single" w:color="auto" w:sz="4" w:space="0"/>
              <w:right w:val="single" w:color="auto" w:sz="4" w:space="0"/>
            </w:tcBorders>
            <w:shd w:val="clear" w:color="auto" w:fill="auto"/>
          </w:tcPr>
          <w:p w14:paraId="5C523635">
            <w:pPr>
              <w:pStyle w:val="33"/>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掌握旅游目的地的历史文化、自然景观等知识，能够提供生动、准确的讲解服务。具备良好的沟通能力和亲和力，能够与游客建立良好的关系，提升游客满意度。熟悉旅游行程安排，能够合理安排时间，确保游客顺利游览各个景点。具备应急处理能力，能够迅速应对旅途中的突发事件，保障游客安全。</w:t>
            </w:r>
          </w:p>
          <w:p w14:paraId="39A02C87">
            <w:pPr>
              <w:pStyle w:val="33"/>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了解旅游安全知识，能够及时提醒游客注意安全，预防意外事故的发生。具备团队管理能力，能够协调游客之间的关系，维护团队秩序。熟悉旅游交通、住宿、餐饮等服务环节，能够妥善安排游客的食宿行；</w:t>
            </w:r>
          </w:p>
          <w:p w14:paraId="3A5298A3">
            <w:pPr>
              <w:pStyle w:val="33"/>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掌握旅游市场的动态和需求，能够根据市场需求设计旅游接待计划。熟悉旅游行程安排和操作流程，能够确保旅游接待计划的顺利实施，并下发旅游团、导游；具备良好的组织协调能力，能够协调内部各部门之间的工作，确保团队高效运作，保障旅途顺利；</w:t>
            </w:r>
          </w:p>
          <w:p w14:paraId="719E6BED">
            <w:pPr>
              <w:pStyle w:val="33"/>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掌握市场营销的基本理论和方法，能够制定有效的营销策略和推广方案。具备良好的市场调研能力，能够准确把握市场需求和竞争态势。熟悉旅游产品特点和优势，能够根据产品特点制定针对性的营销方案。具备良好的沟通能力和销售技巧，能够与客户建立良好的关系，提升客户满意度和忠诚度。熟悉各种营销渠道和推广方式，能够有效利用线上线下资源进行产品推广。具备数据分析能力，能够通过分析销售数据和市场反馈，优化营销策略。具备团队合作精神，能够与团队成员密切配合，共同完成营销任务。熟悉旅游行业法律法规，能够确保营销活动合法合规；</w:t>
            </w:r>
          </w:p>
          <w:p w14:paraId="6DDEF4F1">
            <w:pPr>
              <w:pStyle w:val="33"/>
              <w:spacing w:line="240" w:lineRule="auto"/>
              <w:ind w:firstLine="0" w:firstLineChars="0"/>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lang w:val="en-US" w:eastAsia="zh-CN"/>
              </w:rPr>
              <w:t>3.具备良好的执行能力，并具备团队意识、组织协调能力和沟通能力。</w:t>
            </w:r>
          </w:p>
        </w:tc>
        <w:tc>
          <w:tcPr>
            <w:tcW w:w="1301" w:type="dxa"/>
            <w:tcBorders>
              <w:top w:val="single" w:color="auto" w:sz="4" w:space="0"/>
              <w:left w:val="single" w:color="auto" w:sz="4" w:space="0"/>
              <w:bottom w:val="single" w:color="auto" w:sz="4" w:space="0"/>
              <w:right w:val="single" w:color="auto" w:sz="12" w:space="0"/>
            </w:tcBorders>
            <w:shd w:val="clear" w:color="auto" w:fill="auto"/>
            <w:vAlign w:val="center"/>
          </w:tcPr>
          <w:p w14:paraId="3FE73E2E">
            <w:pPr>
              <w:pStyle w:val="33"/>
              <w:spacing w:line="240" w:lineRule="auto"/>
              <w:ind w:firstLine="0" w:firstLineChars="0"/>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掌握旅游出行必备知识点；掌握旅行社企业一线岗位基础知识；掌握线上、线下旅游产品及旅游活动策划相关内容；掌握旅游资源特点；掌握旅游产品交易知识。</w:t>
            </w:r>
          </w:p>
        </w:tc>
      </w:tr>
    </w:tbl>
    <w:p w14:paraId="5AB0DE03">
      <w:pPr>
        <w:pStyle w:val="2"/>
        <w:ind w:firstLine="560"/>
      </w:pPr>
      <w:bookmarkStart w:id="26" w:name="_Toc20607"/>
      <w:r>
        <w:rPr>
          <w:rFonts w:hint="eastAsia"/>
        </w:rPr>
        <w:t>五、课程设计思路</w:t>
      </w:r>
      <w:bookmarkEnd w:id="24"/>
      <w:bookmarkEnd w:id="26"/>
    </w:p>
    <w:bookmarkEnd w:id="25"/>
    <w:p w14:paraId="72C12FE1">
      <w:pPr>
        <w:pStyle w:val="3"/>
        <w:bidi w:val="0"/>
        <w:rPr>
          <w:rFonts w:hint="eastAsia"/>
        </w:rPr>
      </w:pPr>
      <w:bookmarkStart w:id="27" w:name="_Toc7471"/>
      <w:bookmarkStart w:id="28" w:name="_Toc11466"/>
      <w:r>
        <w:rPr>
          <w:rFonts w:hint="eastAsia"/>
          <w:lang w:eastAsia="zh-CN"/>
        </w:rPr>
        <w:t>（</w:t>
      </w:r>
      <w:r>
        <w:rPr>
          <w:rFonts w:hint="eastAsia"/>
          <w:lang w:val="en-US" w:eastAsia="zh-CN"/>
        </w:rPr>
        <w:t>一</w:t>
      </w:r>
      <w:r>
        <w:rPr>
          <w:rFonts w:hint="eastAsia"/>
          <w:lang w:eastAsia="zh-CN"/>
        </w:rPr>
        <w:t>）</w:t>
      </w:r>
      <w:r>
        <w:rPr>
          <w:rFonts w:hint="eastAsia"/>
        </w:rPr>
        <w:t>教学路径</w:t>
      </w:r>
      <w:bookmarkEnd w:id="27"/>
    </w:p>
    <w:p w14:paraId="681F0A9E">
      <w:pPr>
        <w:bidi w:val="0"/>
        <w:rPr>
          <w:rFonts w:hint="eastAsia"/>
        </w:rPr>
      </w:pPr>
      <w:r>
        <w:rPr>
          <w:rFonts w:hint="eastAsia"/>
          <w:lang w:val="en-US" w:eastAsia="zh-CN"/>
        </w:rPr>
        <w:t>1.</w:t>
      </w:r>
      <w:r>
        <w:rPr>
          <w:rFonts w:hint="eastAsia"/>
        </w:rPr>
        <w:t>课程设计理念</w:t>
      </w:r>
    </w:p>
    <w:p w14:paraId="2E5E4697">
      <w:pPr>
        <w:bidi w:val="0"/>
        <w:rPr>
          <w:rFonts w:hint="eastAsia"/>
        </w:rPr>
      </w:pPr>
      <w:r>
        <w:rPr>
          <w:rFonts w:hint="eastAsia"/>
        </w:rPr>
        <w:t>以学生为中心，注重理论与实践相结合，通过</w:t>
      </w:r>
      <w:r>
        <w:rPr>
          <w:rFonts w:hint="eastAsia"/>
          <w:lang w:val="en-US" w:eastAsia="zh-CN"/>
        </w:rPr>
        <w:t>典型</w:t>
      </w:r>
      <w:r>
        <w:rPr>
          <w:rFonts w:hint="eastAsia"/>
        </w:rPr>
        <w:t>案例分析、</w:t>
      </w:r>
      <w:r>
        <w:rPr>
          <w:rFonts w:hint="eastAsia"/>
          <w:lang w:val="en-US" w:eastAsia="zh-CN"/>
        </w:rPr>
        <w:t>场景模拟</w:t>
      </w:r>
      <w:r>
        <w:rPr>
          <w:rFonts w:hint="eastAsia"/>
        </w:rPr>
        <w:t>、</w:t>
      </w:r>
      <w:r>
        <w:rPr>
          <w:rFonts w:hint="eastAsia"/>
          <w:lang w:val="en-US" w:eastAsia="zh-CN"/>
        </w:rPr>
        <w:t>团队协作</w:t>
      </w:r>
      <w:r>
        <w:rPr>
          <w:rFonts w:hint="eastAsia"/>
        </w:rPr>
        <w:t>等多种教学方法，培养学生的实践能力和创新思维。</w:t>
      </w:r>
    </w:p>
    <w:p w14:paraId="3295EAB0">
      <w:pPr>
        <w:bidi w:val="0"/>
        <w:rPr>
          <w:rFonts w:hint="eastAsia"/>
        </w:rPr>
      </w:pPr>
      <w:r>
        <w:rPr>
          <w:rFonts w:hint="eastAsia"/>
        </w:rPr>
        <w:t>教师在</w:t>
      </w:r>
      <w:r>
        <w:rPr>
          <w:rFonts w:hint="eastAsia"/>
          <w:lang w:val="en-US" w:eastAsia="zh-CN"/>
        </w:rPr>
        <w:t>学习</w:t>
      </w:r>
      <w:r>
        <w:rPr>
          <w:rFonts w:hint="eastAsia"/>
        </w:rPr>
        <w:t>探索过程中，应转变角色，成为学习的引导者和情境的创设者，帮助学生尝试解决问题的知识和方法，充分发挥学生的主体性和能动性。</w:t>
      </w:r>
    </w:p>
    <w:p w14:paraId="4AE361CE">
      <w:pPr>
        <w:bidi w:val="0"/>
        <w:rPr>
          <w:rFonts w:hint="eastAsia"/>
        </w:rPr>
      </w:pPr>
      <w:r>
        <w:rPr>
          <w:rFonts w:hint="eastAsia"/>
          <w:lang w:val="en-US" w:eastAsia="zh-CN"/>
        </w:rPr>
        <w:t>2.</w:t>
      </w:r>
      <w:r>
        <w:rPr>
          <w:rFonts w:hint="eastAsia"/>
        </w:rPr>
        <w:t>课程内容安排</w:t>
      </w:r>
    </w:p>
    <w:p w14:paraId="13B4871F">
      <w:pPr>
        <w:bidi w:val="0"/>
        <w:rPr>
          <w:rFonts w:hint="default" w:ascii="Times New Roman" w:hAnsi="Times New Roman" w:cs="Times New Roman"/>
          <w:lang w:val="en-US" w:eastAsia="zh-CN"/>
        </w:rPr>
      </w:pPr>
      <w:r>
        <w:rPr>
          <w:rFonts w:hint="default" w:ascii="Times New Roman" w:hAnsi="Times New Roman" w:cs="Times New Roman"/>
          <w:lang w:val="en-US" w:eastAsia="zh-CN"/>
        </w:rPr>
        <w:t xml:space="preserve">课程围绕旅游管理专业特性，课程内容涵盖管理学导论、经典理论体系、管理职能旅游场景应用、服务型组织特性、企业运营实战、管理工具与数据分析及职业素养提升，结合酒店、旅行社、景区等真实案例，训练 </w:t>
      </w:r>
      <w:r>
        <w:rPr>
          <w:rFonts w:hint="eastAsia" w:cs="Times New Roman"/>
          <w:lang w:val="en-US" w:eastAsia="zh-CN"/>
        </w:rPr>
        <w:t>BI、</w:t>
      </w:r>
      <w:r>
        <w:rPr>
          <w:rFonts w:hint="default" w:ascii="Times New Roman" w:hAnsi="Times New Roman" w:cs="Times New Roman"/>
          <w:lang w:val="en-US" w:eastAsia="zh-CN"/>
        </w:rPr>
        <w:t>SWOT、PDCA 等工具，通过企业调研、沙盘模拟等实践方式，培养学生理论应用、实操决策与职业综合能力</w:t>
      </w:r>
      <w:r>
        <w:rPr>
          <w:rFonts w:hint="eastAsia" w:ascii="Times New Roman" w:hAnsi="Times New Roman" w:cs="Times New Roman"/>
          <w:lang w:val="en-US" w:eastAsia="zh-CN"/>
        </w:rPr>
        <w:t>。</w:t>
      </w:r>
    </w:p>
    <w:p w14:paraId="7F4E9470">
      <w:pPr>
        <w:keepNext w:val="0"/>
        <w:keepLines w:val="0"/>
        <w:widowControl/>
        <w:suppressLineNumbers w:val="0"/>
        <w:pBdr>
          <w:top w:val="none" w:color="auto" w:sz="0" w:space="0"/>
          <w:bottom w:val="none" w:color="auto" w:sz="0" w:space="0"/>
        </w:pBdr>
        <w:shd w:val="clear" w:fill="FFFFFF"/>
        <w:bidi w:val="0"/>
        <w:spacing w:before="0" w:beforeAutospacing="0" w:after="0" w:afterAutospacing="0" w:line="336" w:lineRule="atLeast"/>
        <w:ind w:left="0" w:right="0" w:firstLine="0"/>
        <w:jc w:val="left"/>
        <w:rPr>
          <w:rFonts w:hint="eastAsia"/>
        </w:rPr>
      </w:pPr>
      <w:r>
        <w:rPr>
          <w:rFonts w:hint="eastAsia"/>
          <w:lang w:val="en-US" w:eastAsia="zh-CN"/>
        </w:rPr>
        <w:t>3.</w:t>
      </w:r>
      <w:r>
        <w:rPr>
          <w:rFonts w:hint="eastAsia"/>
        </w:rPr>
        <w:t>教学方法</w:t>
      </w:r>
    </w:p>
    <w:p w14:paraId="0E3D7DCA">
      <w:pPr>
        <w:bidi w:val="0"/>
        <w:rPr>
          <w:rFonts w:hint="eastAsia"/>
        </w:rPr>
      </w:pPr>
      <w:r>
        <w:rPr>
          <w:rFonts w:hint="eastAsia"/>
        </w:rPr>
        <w:t>采用讲授法、讨论法、案例分析法、项目实践法等多种教学方法，激发学生的学习兴趣，提高学生的主动性和参与度。</w:t>
      </w:r>
    </w:p>
    <w:p w14:paraId="0BAF3EA9">
      <w:pPr>
        <w:bidi w:val="0"/>
        <w:rPr>
          <w:rFonts w:hint="eastAsia"/>
        </w:rPr>
      </w:pPr>
      <w:r>
        <w:rPr>
          <w:rFonts w:hint="eastAsia"/>
        </w:rPr>
        <w:t>结合现实生活案例，使理论联系实际，提高学生</w:t>
      </w:r>
      <w:r>
        <w:rPr>
          <w:rFonts w:hint="eastAsia"/>
          <w:lang w:val="en-US" w:eastAsia="zh-CN"/>
        </w:rPr>
        <w:t>对本门课程的兴趣度和掌握力</w:t>
      </w:r>
      <w:r>
        <w:rPr>
          <w:rFonts w:hint="eastAsia"/>
        </w:rPr>
        <w:t>。</w:t>
      </w:r>
    </w:p>
    <w:p w14:paraId="3B7808AC">
      <w:pPr>
        <w:bidi w:val="0"/>
        <w:rPr>
          <w:rFonts w:hint="eastAsia"/>
        </w:rPr>
      </w:pPr>
      <w:r>
        <w:rPr>
          <w:rFonts w:hint="eastAsia"/>
          <w:lang w:val="en-US" w:eastAsia="zh-CN"/>
        </w:rPr>
        <w:t>4.</w:t>
      </w:r>
      <w:r>
        <w:rPr>
          <w:rFonts w:hint="eastAsia"/>
        </w:rPr>
        <w:t>教学进度</w:t>
      </w:r>
    </w:p>
    <w:p w14:paraId="1929E59E">
      <w:pPr>
        <w:bidi w:val="0"/>
        <w:rPr>
          <w:rFonts w:hint="eastAsia"/>
        </w:rPr>
      </w:pPr>
      <w:r>
        <w:rPr>
          <w:rFonts w:hint="eastAsia"/>
        </w:rPr>
        <w:t>课程通常按照教材章节顺序进行教学，每周安排一定的课时，确保学生有规律的学习时间。</w:t>
      </w:r>
    </w:p>
    <w:p w14:paraId="1696E1C2">
      <w:pPr>
        <w:bidi w:val="0"/>
        <w:rPr>
          <w:rFonts w:hint="eastAsia"/>
        </w:rPr>
      </w:pPr>
      <w:r>
        <w:rPr>
          <w:rFonts w:hint="eastAsia"/>
        </w:rPr>
        <w:t>在教学过程中，</w:t>
      </w:r>
      <w:r>
        <w:rPr>
          <w:rFonts w:hint="eastAsia"/>
          <w:lang w:val="en-US" w:eastAsia="zh-CN"/>
        </w:rPr>
        <w:t>注重理实搭配</w:t>
      </w:r>
      <w:r>
        <w:rPr>
          <w:rFonts w:hint="eastAsia"/>
        </w:rPr>
        <w:t>，确保理论与实践相结合。</w:t>
      </w:r>
    </w:p>
    <w:p w14:paraId="27EB13A1">
      <w:pPr>
        <w:pStyle w:val="3"/>
        <w:bidi w:val="0"/>
        <w:rPr>
          <w:rFonts w:hint="eastAsia"/>
        </w:rPr>
      </w:pPr>
      <w:bookmarkStart w:id="29" w:name="_Toc31255"/>
      <w:r>
        <w:rPr>
          <w:rFonts w:hint="eastAsia"/>
          <w:lang w:eastAsia="zh-CN"/>
        </w:rPr>
        <w:t>（</w:t>
      </w:r>
      <w:r>
        <w:rPr>
          <w:rFonts w:hint="eastAsia"/>
          <w:lang w:val="en-US" w:eastAsia="zh-CN"/>
        </w:rPr>
        <w:t>二</w:t>
      </w:r>
      <w:r>
        <w:rPr>
          <w:rFonts w:hint="eastAsia"/>
          <w:lang w:eastAsia="zh-CN"/>
        </w:rPr>
        <w:t>）</w:t>
      </w:r>
      <w:r>
        <w:rPr>
          <w:rFonts w:hint="eastAsia"/>
        </w:rPr>
        <w:t>教学评价</w:t>
      </w:r>
      <w:bookmarkEnd w:id="29"/>
    </w:p>
    <w:p w14:paraId="1B5A761E">
      <w:pPr>
        <w:bidi w:val="0"/>
        <w:rPr>
          <w:rFonts w:hint="eastAsia"/>
        </w:rPr>
      </w:pPr>
      <w:r>
        <w:rPr>
          <w:rFonts w:hint="eastAsia"/>
          <w:lang w:val="en-US" w:eastAsia="zh-CN"/>
        </w:rPr>
        <w:t>1.</w:t>
      </w:r>
      <w:r>
        <w:rPr>
          <w:rFonts w:hint="eastAsia"/>
        </w:rPr>
        <w:t>评价方式</w:t>
      </w:r>
    </w:p>
    <w:p w14:paraId="2BF13D9A">
      <w:pPr>
        <w:bidi w:val="0"/>
        <w:rPr>
          <w:rFonts w:hint="eastAsia"/>
        </w:rPr>
      </w:pPr>
      <w:r>
        <w:rPr>
          <w:rFonts w:hint="eastAsia"/>
        </w:rPr>
        <w:t>采用平时表现、</w:t>
      </w:r>
      <w:r>
        <w:rPr>
          <w:rFonts w:hint="eastAsia"/>
          <w:lang w:val="en-US" w:eastAsia="zh-CN"/>
        </w:rPr>
        <w:t>实践任务完成度</w:t>
      </w:r>
      <w:r>
        <w:rPr>
          <w:rFonts w:hint="eastAsia"/>
        </w:rPr>
        <w:t>、考试等多种评价方式，确保评价的客观性和全面性。</w:t>
      </w:r>
    </w:p>
    <w:p w14:paraId="0CF7C917">
      <w:pPr>
        <w:bidi w:val="0"/>
        <w:rPr>
          <w:rFonts w:hint="eastAsia"/>
        </w:rPr>
      </w:pPr>
      <w:r>
        <w:rPr>
          <w:rFonts w:hint="eastAsia"/>
        </w:rPr>
        <w:t>平时表现包括课堂出勤、课堂参与度、小组讨论表现等；作业包括</w:t>
      </w:r>
      <w:r>
        <w:rPr>
          <w:rFonts w:hint="eastAsia"/>
          <w:lang w:val="en-US" w:eastAsia="zh-CN"/>
        </w:rPr>
        <w:t>平台</w:t>
      </w:r>
      <w:r>
        <w:rPr>
          <w:rFonts w:hint="eastAsia"/>
        </w:rPr>
        <w:t>作业、实践报告等；考试包括期中考试和期末考试。</w:t>
      </w:r>
    </w:p>
    <w:p w14:paraId="35ED1B09">
      <w:pPr>
        <w:bidi w:val="0"/>
        <w:rPr>
          <w:rFonts w:hint="eastAsia"/>
        </w:rPr>
      </w:pPr>
      <w:r>
        <w:rPr>
          <w:rFonts w:hint="eastAsia"/>
          <w:lang w:val="en-US" w:eastAsia="zh-CN"/>
        </w:rPr>
        <w:t>2.</w:t>
      </w:r>
      <w:r>
        <w:rPr>
          <w:rFonts w:hint="eastAsia"/>
        </w:rPr>
        <w:t>评价反馈</w:t>
      </w:r>
    </w:p>
    <w:p w14:paraId="02862B31">
      <w:pPr>
        <w:bidi w:val="0"/>
        <w:rPr>
          <w:rFonts w:hint="eastAsia"/>
        </w:rPr>
      </w:pPr>
      <w:r>
        <w:rPr>
          <w:rFonts w:hint="eastAsia"/>
        </w:rPr>
        <w:t>评估标准要明确、公正，确保评估的客观性和有效性。</w:t>
      </w:r>
    </w:p>
    <w:p w14:paraId="35204749">
      <w:pPr>
        <w:bidi w:val="0"/>
        <w:rPr>
          <w:rFonts w:hint="eastAsia"/>
        </w:rPr>
      </w:pPr>
      <w:r>
        <w:rPr>
          <w:rFonts w:hint="eastAsia"/>
        </w:rPr>
        <w:t>评估结果要及时反馈给学生，以便他们了解自己的学习状况，调整学习方法和策略。</w:t>
      </w:r>
    </w:p>
    <w:p w14:paraId="2DEB3EC2">
      <w:pPr>
        <w:pStyle w:val="3"/>
        <w:bidi w:val="0"/>
        <w:rPr>
          <w:rFonts w:hint="eastAsia"/>
        </w:rPr>
      </w:pPr>
      <w:bookmarkStart w:id="30" w:name="_Toc2599"/>
      <w:r>
        <w:rPr>
          <w:rFonts w:hint="eastAsia"/>
          <w:lang w:eastAsia="zh-CN"/>
        </w:rPr>
        <w:t>（</w:t>
      </w:r>
      <w:r>
        <w:rPr>
          <w:rFonts w:hint="eastAsia"/>
          <w:lang w:val="en-US" w:eastAsia="zh-CN"/>
        </w:rPr>
        <w:t>三</w:t>
      </w:r>
      <w:r>
        <w:rPr>
          <w:rFonts w:hint="eastAsia"/>
          <w:lang w:eastAsia="zh-CN"/>
        </w:rPr>
        <w:t>）</w:t>
      </w:r>
      <w:r>
        <w:rPr>
          <w:rFonts w:hint="eastAsia"/>
        </w:rPr>
        <w:t>课程思政</w:t>
      </w:r>
      <w:bookmarkEnd w:id="30"/>
    </w:p>
    <w:p w14:paraId="2BC111EB">
      <w:pPr>
        <w:bidi w:val="0"/>
        <w:rPr>
          <w:rFonts w:hint="eastAsia"/>
        </w:rPr>
      </w:pPr>
      <w:r>
        <w:rPr>
          <w:rFonts w:hint="eastAsia"/>
          <w:lang w:val="en-US" w:eastAsia="zh-CN"/>
        </w:rPr>
        <w:t>1.</w:t>
      </w:r>
      <w:r>
        <w:rPr>
          <w:rFonts w:hint="eastAsia"/>
        </w:rPr>
        <w:t>思政融入理念</w:t>
      </w:r>
    </w:p>
    <w:p w14:paraId="4C90A95F">
      <w:pPr>
        <w:bidi w:val="0"/>
        <w:rPr>
          <w:rFonts w:hint="eastAsia"/>
        </w:rPr>
      </w:pPr>
      <w:r>
        <w:rPr>
          <w:rFonts w:hint="eastAsia"/>
        </w:rPr>
        <w:t>课程思政是一种教育教学理念，强调将思想政治教育融入高校每门课程教育教学的全过程，坚持知识传授与价值引领相结合。</w:t>
      </w:r>
    </w:p>
    <w:p w14:paraId="02833427">
      <w:pPr>
        <w:bidi w:val="0"/>
        <w:rPr>
          <w:rFonts w:hint="eastAsia"/>
        </w:rPr>
      </w:pPr>
      <w:r>
        <w:rPr>
          <w:rFonts w:hint="eastAsia"/>
          <w:lang w:val="en-US" w:eastAsia="zh-CN"/>
        </w:rPr>
        <w:t>2.</w:t>
      </w:r>
      <w:r>
        <w:rPr>
          <w:rFonts w:hint="eastAsia"/>
        </w:rPr>
        <w:t>思政融入方法</w:t>
      </w:r>
    </w:p>
    <w:p w14:paraId="6A272BE0">
      <w:pPr>
        <w:bidi w:val="0"/>
        <w:rPr>
          <w:rFonts w:hint="eastAsia"/>
        </w:rPr>
      </w:pPr>
      <w:r>
        <w:rPr>
          <w:rFonts w:hint="eastAsia"/>
        </w:rPr>
        <w:t>结合</w:t>
      </w:r>
      <w:r>
        <w:rPr>
          <w:rFonts w:hint="eastAsia"/>
          <w:lang w:val="en-US" w:eastAsia="zh-CN"/>
        </w:rPr>
        <w:t>旅游管理</w:t>
      </w:r>
      <w:r>
        <w:rPr>
          <w:rFonts w:hint="eastAsia"/>
        </w:rPr>
        <w:t>学专业知识，精炼符合“三新”标准的思政题材和内容（新素材、新理念、新视角），实现师生情感上的“三共”（共鸣、共情、共振）。</w:t>
      </w:r>
    </w:p>
    <w:p w14:paraId="3F90E2EB">
      <w:pPr>
        <w:bidi w:val="0"/>
        <w:rPr>
          <w:rFonts w:hint="eastAsia"/>
        </w:rPr>
      </w:pPr>
      <w:r>
        <w:rPr>
          <w:rFonts w:hint="eastAsia"/>
        </w:rPr>
        <w:t>通过</w:t>
      </w:r>
      <w:r>
        <w:rPr>
          <w:rFonts w:hint="eastAsia"/>
          <w:lang w:val="en-US" w:eastAsia="zh-CN"/>
        </w:rPr>
        <w:t>典型</w:t>
      </w:r>
      <w:r>
        <w:rPr>
          <w:rFonts w:hint="eastAsia"/>
        </w:rPr>
        <w:t>案例</w:t>
      </w:r>
      <w:r>
        <w:rPr>
          <w:rFonts w:hint="eastAsia"/>
          <w:lang w:val="en-US" w:eastAsia="zh-CN"/>
        </w:rPr>
        <w:t>分析</w:t>
      </w:r>
      <w:r>
        <w:rPr>
          <w:rFonts w:hint="eastAsia"/>
        </w:rPr>
        <w:t>、讨论式教学和情景教学等方法，将思政元素融入</w:t>
      </w:r>
      <w:r>
        <w:rPr>
          <w:rFonts w:hint="eastAsia"/>
          <w:lang w:val="en-US" w:eastAsia="zh-CN"/>
        </w:rPr>
        <w:t>课程</w:t>
      </w:r>
      <w:r>
        <w:rPr>
          <w:rFonts w:hint="eastAsia"/>
        </w:rPr>
        <w:t>教学中，激发学生的学习兴趣，培养学生的</w:t>
      </w:r>
      <w:r>
        <w:rPr>
          <w:rFonts w:hint="eastAsia"/>
          <w:lang w:val="en-US" w:eastAsia="zh-CN"/>
        </w:rPr>
        <w:t>社会责任感和职业道德</w:t>
      </w:r>
      <w:r>
        <w:rPr>
          <w:rFonts w:hint="eastAsia"/>
        </w:rPr>
        <w:t>。</w:t>
      </w:r>
    </w:p>
    <w:p w14:paraId="4CA2F27F">
      <w:pPr>
        <w:bidi w:val="0"/>
        <w:rPr>
          <w:rFonts w:hint="eastAsia"/>
        </w:rPr>
      </w:pPr>
      <w:r>
        <w:rPr>
          <w:rFonts w:hint="eastAsia"/>
          <w:lang w:val="en-US" w:eastAsia="zh-CN"/>
        </w:rPr>
        <w:t>3.</w:t>
      </w:r>
      <w:r>
        <w:rPr>
          <w:rFonts w:hint="eastAsia"/>
        </w:rPr>
        <w:t>思政融入内容</w:t>
      </w:r>
    </w:p>
    <w:p w14:paraId="666FC825">
      <w:pPr>
        <w:bidi w:val="0"/>
        <w:rPr>
          <w:rFonts w:hint="eastAsia"/>
        </w:rPr>
      </w:pPr>
      <w:r>
        <w:rPr>
          <w:rFonts w:hint="eastAsia"/>
        </w:rPr>
        <w:t>在</w:t>
      </w:r>
      <w:r>
        <w:rPr>
          <w:rFonts w:hint="eastAsia"/>
          <w:lang w:val="en-US" w:eastAsia="zh-CN"/>
        </w:rPr>
        <w:t>旅行社</w:t>
      </w:r>
      <w:r>
        <w:rPr>
          <w:rFonts w:hint="eastAsia"/>
        </w:rPr>
        <w:t>产品</w:t>
      </w:r>
      <w:r>
        <w:rPr>
          <w:rFonts w:hint="eastAsia"/>
          <w:lang w:val="en-US" w:eastAsia="zh-CN"/>
        </w:rPr>
        <w:t>开发</w:t>
      </w:r>
      <w:r>
        <w:rPr>
          <w:rFonts w:hint="eastAsia"/>
        </w:rPr>
        <w:t>、市场营销</w:t>
      </w:r>
      <w:r>
        <w:rPr>
          <w:rFonts w:hint="eastAsia"/>
          <w:lang w:eastAsia="zh-CN"/>
        </w:rPr>
        <w:t>、</w:t>
      </w:r>
      <w:r>
        <w:rPr>
          <w:rFonts w:hint="eastAsia"/>
          <w:lang w:val="en-US" w:eastAsia="zh-CN"/>
        </w:rPr>
        <w:t>接待服务、财务管理</w:t>
      </w:r>
      <w:r>
        <w:rPr>
          <w:rFonts w:hint="eastAsia"/>
        </w:rPr>
        <w:t>等教学中融入思想政治教育，如通过分析旅游行业的热点问题，增强学生的社会责任感；通过讨论旅游行业的职业道德规范，引导学生树立正确的职业道德观。</w:t>
      </w:r>
    </w:p>
    <w:p w14:paraId="6B9FECA5">
      <w:pPr>
        <w:pStyle w:val="2"/>
        <w:bidi w:val="0"/>
      </w:pPr>
      <w:bookmarkStart w:id="31" w:name="_Toc22160"/>
      <w:r>
        <w:rPr>
          <w:rFonts w:hint="eastAsia"/>
        </w:rPr>
        <w:t>六、课程结构与内容</w:t>
      </w:r>
      <w:bookmarkEnd w:id="28"/>
      <w:bookmarkEnd w:id="31"/>
      <w:bookmarkStart w:id="32" w:name="_Toc19213"/>
      <w:bookmarkStart w:id="33" w:name="_Toc7467"/>
    </w:p>
    <w:p w14:paraId="1FA0ADB1">
      <w:pPr>
        <w:ind w:firstLine="480"/>
        <w:jc w:val="center"/>
        <w:rPr>
          <w:rFonts w:ascii="仿宋_GB2312" w:hAnsi="仿宋_GB2312" w:cs="仿宋_GB2312"/>
          <w:b/>
          <w:bCs/>
          <w:sz w:val="24"/>
          <w:szCs w:val="21"/>
          <w:highlight w:val="yellow"/>
        </w:rPr>
      </w:pPr>
      <w:r>
        <w:rPr>
          <w:rFonts w:hint="eastAsia" w:ascii="仿宋_GB2312" w:hAnsi="仿宋_GB2312" w:cs="仿宋_GB2312"/>
          <w:b/>
          <w:bCs/>
          <w:sz w:val="24"/>
          <w:szCs w:val="21"/>
        </w:rPr>
        <w:t xml:space="preserve">表3. </w:t>
      </w:r>
      <w:r>
        <w:rPr>
          <w:rFonts w:hint="eastAsia" w:ascii="仿宋_GB2312" w:hAnsi="仿宋_GB2312" w:cs="仿宋_GB2312"/>
          <w:b/>
          <w:bCs/>
          <w:sz w:val="24"/>
          <w:szCs w:val="21"/>
          <w:highlight w:val="none"/>
        </w:rPr>
        <w:t>课程设计方案</w:t>
      </w:r>
      <w:bookmarkEnd w:id="32"/>
      <w:bookmarkEnd w:id="33"/>
    </w:p>
    <w:tbl>
      <w:tblPr>
        <w:tblStyle w:val="15"/>
        <w:tblW w:w="8677" w:type="dxa"/>
        <w:tblInd w:w="4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35"/>
        <w:gridCol w:w="1260"/>
        <w:gridCol w:w="405"/>
        <w:gridCol w:w="2205"/>
        <w:gridCol w:w="1065"/>
        <w:gridCol w:w="2947"/>
        <w:gridCol w:w="460"/>
      </w:tblGrid>
      <w:tr w14:paraId="2D32C91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335" w:type="dxa"/>
            <w:tcBorders>
              <w:tl2br w:val="nil"/>
              <w:tr2bl w:val="nil"/>
            </w:tcBorders>
            <w:vAlign w:val="center"/>
          </w:tcPr>
          <w:p w14:paraId="6EE36080">
            <w:pPr>
              <w:spacing w:line="240" w:lineRule="auto"/>
              <w:ind w:firstLine="0" w:firstLineChars="0"/>
              <w:jc w:val="both"/>
              <w:rPr>
                <w:rFonts w:hint="eastAsia" w:ascii="仿宋" w:hAnsi="仿宋" w:eastAsia="仿宋" w:cs="仿宋"/>
                <w:b/>
                <w:bCs/>
                <w:sz w:val="24"/>
                <w:szCs w:val="24"/>
              </w:rPr>
            </w:pPr>
            <w:r>
              <w:rPr>
                <w:rFonts w:hint="eastAsia" w:ascii="仿宋" w:hAnsi="仿宋" w:eastAsia="仿宋" w:cs="仿宋"/>
                <w:b/>
                <w:bCs/>
                <w:sz w:val="24"/>
                <w:szCs w:val="24"/>
              </w:rPr>
              <w:t>序号</w:t>
            </w:r>
          </w:p>
        </w:tc>
        <w:tc>
          <w:tcPr>
            <w:tcW w:w="1260" w:type="dxa"/>
            <w:tcBorders>
              <w:tl2br w:val="nil"/>
              <w:tr2bl w:val="nil"/>
            </w:tcBorders>
            <w:vAlign w:val="center"/>
          </w:tcPr>
          <w:p w14:paraId="48F3DB54">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课程内容</w:t>
            </w:r>
          </w:p>
          <w:p w14:paraId="2A694AC9">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（模块/项目）</w:t>
            </w:r>
          </w:p>
        </w:tc>
        <w:tc>
          <w:tcPr>
            <w:tcW w:w="405" w:type="dxa"/>
            <w:tcBorders>
              <w:tl2br w:val="nil"/>
              <w:tr2bl w:val="nil"/>
            </w:tcBorders>
            <w:vAlign w:val="center"/>
          </w:tcPr>
          <w:p w14:paraId="14E34796">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学习任务</w:t>
            </w:r>
          </w:p>
        </w:tc>
        <w:tc>
          <w:tcPr>
            <w:tcW w:w="2205" w:type="dxa"/>
            <w:tcBorders>
              <w:tl2br w:val="nil"/>
              <w:tr2bl w:val="nil"/>
            </w:tcBorders>
            <w:vAlign w:val="center"/>
          </w:tcPr>
          <w:p w14:paraId="4ACFA94C">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学习内容</w:t>
            </w:r>
          </w:p>
          <w:p w14:paraId="5F2770A3">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和要求</w:t>
            </w:r>
          </w:p>
        </w:tc>
        <w:tc>
          <w:tcPr>
            <w:tcW w:w="1065" w:type="dxa"/>
            <w:tcBorders>
              <w:tl2br w:val="nil"/>
              <w:tr2bl w:val="nil"/>
            </w:tcBorders>
            <w:vAlign w:val="center"/>
          </w:tcPr>
          <w:p w14:paraId="7E4FD7E5">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教学</w:t>
            </w:r>
          </w:p>
          <w:p w14:paraId="549DC770">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设计</w:t>
            </w:r>
          </w:p>
        </w:tc>
        <w:tc>
          <w:tcPr>
            <w:tcW w:w="2947" w:type="dxa"/>
            <w:tcBorders>
              <w:tl2br w:val="nil"/>
              <w:tr2bl w:val="nil"/>
            </w:tcBorders>
            <w:vAlign w:val="center"/>
          </w:tcPr>
          <w:p w14:paraId="3E77EF9F">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课程思政设计</w:t>
            </w:r>
          </w:p>
        </w:tc>
        <w:tc>
          <w:tcPr>
            <w:tcW w:w="460" w:type="dxa"/>
            <w:tcBorders>
              <w:tl2br w:val="nil"/>
              <w:tr2bl w:val="nil"/>
            </w:tcBorders>
            <w:vAlign w:val="center"/>
          </w:tcPr>
          <w:p w14:paraId="15DEE9FE">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学时</w:t>
            </w:r>
          </w:p>
        </w:tc>
      </w:tr>
      <w:tr w14:paraId="3471C67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86" w:hRule="atLeast"/>
        </w:trPr>
        <w:tc>
          <w:tcPr>
            <w:tcW w:w="335" w:type="dxa"/>
            <w:tcBorders>
              <w:tl2br w:val="nil"/>
              <w:tr2bl w:val="nil"/>
            </w:tcBorders>
            <w:vAlign w:val="center"/>
          </w:tcPr>
          <w:p w14:paraId="708B6FC8">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rPr>
              <w:t>1</w:t>
            </w:r>
          </w:p>
        </w:tc>
        <w:tc>
          <w:tcPr>
            <w:tcW w:w="1260" w:type="dxa"/>
            <w:tcBorders>
              <w:tl2br w:val="nil"/>
              <w:tr2bl w:val="nil"/>
            </w:tcBorders>
            <w:vAlign w:val="center"/>
          </w:tcPr>
          <w:p w14:paraId="4C036BE5">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模块一</w:t>
            </w:r>
          </w:p>
        </w:tc>
        <w:tc>
          <w:tcPr>
            <w:tcW w:w="405" w:type="dxa"/>
            <w:tcBorders>
              <w:tl2br w:val="nil"/>
              <w:tr2bl w:val="nil"/>
            </w:tcBorders>
            <w:vAlign w:val="center"/>
          </w:tcPr>
          <w:p w14:paraId="1F99C591">
            <w:pPr>
              <w:spacing w:line="240" w:lineRule="auto"/>
              <w:ind w:left="0" w:leftChars="0" w:firstLine="0" w:firstLineChars="0"/>
              <w:jc w:val="left"/>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管理概述</w:t>
            </w:r>
          </w:p>
        </w:tc>
        <w:tc>
          <w:tcPr>
            <w:tcW w:w="2205" w:type="dxa"/>
            <w:tcBorders>
              <w:tl2br w:val="nil"/>
              <w:tr2bl w:val="nil"/>
            </w:tcBorders>
            <w:vAlign w:val="center"/>
          </w:tcPr>
          <w:p w14:paraId="3C0677E1">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①理解和记忆管理的定义，熟悉管理的特点。</w:t>
            </w:r>
          </w:p>
          <w:p w14:paraId="72AC6018">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②理解系统原理、人本原理、责任原理、效益原理的内涵和意义。</w:t>
            </w:r>
          </w:p>
        </w:tc>
        <w:tc>
          <w:tcPr>
            <w:tcW w:w="1065" w:type="dxa"/>
            <w:tcBorders>
              <w:tl2br w:val="nil"/>
              <w:tr2bl w:val="nil"/>
            </w:tcBorders>
            <w:vAlign w:val="center"/>
          </w:tcPr>
          <w:p w14:paraId="1E5D1665">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28C3B163">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5814894D">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484F3A03">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2947" w:type="dxa"/>
            <w:tcBorders>
              <w:tl2br w:val="nil"/>
              <w:tr2bl w:val="nil"/>
            </w:tcBorders>
            <w:vAlign w:val="center"/>
          </w:tcPr>
          <w:p w14:paraId="7E2AE2D8">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家国情怀&amp;职业素养&amp;以人为本</w:t>
            </w:r>
          </w:p>
          <w:p w14:paraId="6F24FFCD">
            <w:pPr>
              <w:widowControl/>
              <w:spacing w:line="240" w:lineRule="auto"/>
              <w:ind w:left="0" w:leftChars="0" w:firstLine="0" w:firstLineChars="0"/>
              <w:rPr>
                <w:rFonts w:hint="eastAsia" w:ascii="仿宋" w:hAnsi="仿宋" w:eastAsia="仿宋" w:cs="仿宋"/>
                <w:b/>
                <w:bCs/>
                <w:kern w:val="0"/>
                <w:sz w:val="24"/>
                <w:szCs w:val="24"/>
                <w:lang w:val="en-US" w:eastAsia="zh-CN" w:bidi="ar-SA"/>
              </w:rPr>
            </w:pPr>
            <w:r>
              <w:rPr>
                <w:rFonts w:hint="eastAsia" w:ascii="仿宋" w:hAnsi="仿宋" w:eastAsia="仿宋" w:cs="仿宋"/>
                <w:kern w:val="0"/>
                <w:sz w:val="24"/>
                <w:szCs w:val="24"/>
                <w:lang w:val="en-US" w:eastAsia="zh-CN"/>
              </w:rPr>
              <w:t>培养学生将个人职业发展与国家战略相结合的意识，理解管理实践中的社会责任。</w:t>
            </w:r>
          </w:p>
        </w:tc>
        <w:tc>
          <w:tcPr>
            <w:tcW w:w="460" w:type="dxa"/>
            <w:tcBorders>
              <w:tl2br w:val="nil"/>
              <w:tr2bl w:val="nil"/>
            </w:tcBorders>
            <w:vAlign w:val="center"/>
          </w:tcPr>
          <w:p w14:paraId="67A99F2F">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45A604E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34" w:hRule="atLeast"/>
        </w:trPr>
        <w:tc>
          <w:tcPr>
            <w:tcW w:w="335" w:type="dxa"/>
            <w:tcBorders>
              <w:tl2br w:val="nil"/>
              <w:tr2bl w:val="nil"/>
            </w:tcBorders>
            <w:vAlign w:val="center"/>
          </w:tcPr>
          <w:p w14:paraId="4B957732">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1260" w:type="dxa"/>
            <w:tcBorders>
              <w:tl2br w:val="nil"/>
              <w:tr2bl w:val="nil"/>
            </w:tcBorders>
            <w:vAlign w:val="center"/>
          </w:tcPr>
          <w:p w14:paraId="67461051">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模块二</w:t>
            </w:r>
          </w:p>
        </w:tc>
        <w:tc>
          <w:tcPr>
            <w:tcW w:w="405" w:type="dxa"/>
            <w:tcBorders>
              <w:tl2br w:val="nil"/>
              <w:tr2bl w:val="nil"/>
            </w:tcBorders>
            <w:vAlign w:val="center"/>
          </w:tcPr>
          <w:p w14:paraId="097EF7EF">
            <w:pPr>
              <w:spacing w:line="240" w:lineRule="auto"/>
              <w:ind w:left="0" w:leftChars="0" w:firstLine="0" w:firstLineChars="0"/>
              <w:outlineLvl w:val="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计划与决策</w:t>
            </w:r>
          </w:p>
        </w:tc>
        <w:tc>
          <w:tcPr>
            <w:tcW w:w="2205" w:type="dxa"/>
            <w:tcBorders>
              <w:tl2br w:val="nil"/>
              <w:tr2bl w:val="nil"/>
            </w:tcBorders>
            <w:vAlign w:val="center"/>
          </w:tcPr>
          <w:p w14:paraId="799AC886">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①理解组织是一个有机整体，各部门相互依存，管理要立足全局。</w:t>
            </w:r>
          </w:p>
          <w:p w14:paraId="5DD10B0A">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②能够阐述组织整体目标的重要性。</w:t>
            </w:r>
          </w:p>
          <w:p w14:paraId="0A22B564">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③别组织内不同部门或要素间的相互关系。</w:t>
            </w:r>
          </w:p>
        </w:tc>
        <w:tc>
          <w:tcPr>
            <w:tcW w:w="1065" w:type="dxa"/>
            <w:tcBorders>
              <w:tl2br w:val="nil"/>
              <w:tr2bl w:val="nil"/>
            </w:tcBorders>
            <w:vAlign w:val="center"/>
          </w:tcPr>
          <w:p w14:paraId="5B87BD28">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3034999D">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1AB0402E">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599C2022">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2947" w:type="dxa"/>
            <w:tcBorders>
              <w:tl2br w:val="nil"/>
              <w:tr2bl w:val="nil"/>
            </w:tcBorders>
            <w:vAlign w:val="center"/>
          </w:tcPr>
          <w:p w14:paraId="7AFE6C5E">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家国元素&amp;道德元素&amp;哲学元素&amp;文化元素</w:t>
            </w:r>
          </w:p>
          <w:p w14:paraId="636642F5">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讲解“双碳”目标并以酒店集团用光伏+智能温控减碳30%这一案例，指导学生计算绿色收益，厚植家国情怀与生态责任。</w:t>
            </w:r>
          </w:p>
        </w:tc>
        <w:tc>
          <w:tcPr>
            <w:tcW w:w="460" w:type="dxa"/>
            <w:tcBorders>
              <w:tl2br w:val="nil"/>
              <w:tr2bl w:val="nil"/>
            </w:tcBorders>
            <w:vAlign w:val="center"/>
          </w:tcPr>
          <w:p w14:paraId="2E284698">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4</w:t>
            </w:r>
          </w:p>
        </w:tc>
      </w:tr>
      <w:tr w14:paraId="4A12B6C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335" w:type="dxa"/>
            <w:tcBorders>
              <w:tl2br w:val="nil"/>
              <w:tr2bl w:val="nil"/>
            </w:tcBorders>
            <w:vAlign w:val="center"/>
          </w:tcPr>
          <w:p w14:paraId="5E772525">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w:t>
            </w:r>
          </w:p>
        </w:tc>
        <w:tc>
          <w:tcPr>
            <w:tcW w:w="1260" w:type="dxa"/>
            <w:tcBorders>
              <w:tl2br w:val="nil"/>
              <w:tr2bl w:val="nil"/>
            </w:tcBorders>
            <w:vAlign w:val="center"/>
          </w:tcPr>
          <w:p w14:paraId="3CD610FD">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模块三</w:t>
            </w:r>
          </w:p>
        </w:tc>
        <w:tc>
          <w:tcPr>
            <w:tcW w:w="405" w:type="dxa"/>
            <w:tcBorders>
              <w:tl2br w:val="nil"/>
              <w:tr2bl w:val="nil"/>
            </w:tcBorders>
            <w:vAlign w:val="center"/>
          </w:tcPr>
          <w:p w14:paraId="5E0ED258">
            <w:pPr>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机构与人员</w:t>
            </w:r>
          </w:p>
        </w:tc>
        <w:tc>
          <w:tcPr>
            <w:tcW w:w="2205" w:type="dxa"/>
            <w:tcBorders>
              <w:tl2br w:val="nil"/>
              <w:tr2bl w:val="nil"/>
            </w:tcBorders>
            <w:vAlign w:val="center"/>
          </w:tcPr>
          <w:p w14:paraId="2424B03F">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①理解法律方法的基本概念和作用。</w:t>
            </w:r>
          </w:p>
          <w:p w14:paraId="65B82BA9">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②掌握行政方法的应用和特点。</w:t>
            </w:r>
          </w:p>
          <w:p w14:paraId="4ABC0B59">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③掌握经济方法的核心和运用。</w:t>
            </w:r>
          </w:p>
        </w:tc>
        <w:tc>
          <w:tcPr>
            <w:tcW w:w="1065" w:type="dxa"/>
            <w:tcBorders>
              <w:tl2br w:val="nil"/>
              <w:tr2bl w:val="nil"/>
            </w:tcBorders>
            <w:vAlign w:val="center"/>
          </w:tcPr>
          <w:p w14:paraId="2CFCA4CF">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170F568A">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13B4EB43">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3542EEAA">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2947" w:type="dxa"/>
            <w:tcBorders>
              <w:tl2br w:val="nil"/>
              <w:tr2bl w:val="nil"/>
            </w:tcBorders>
            <w:vAlign w:val="center"/>
          </w:tcPr>
          <w:p w14:paraId="4A23E43A">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哲学元素&amp;家国因素&amp;道德元素&amp;文化元素</w:t>
            </w:r>
          </w:p>
          <w:p w14:paraId="579791FD">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行政方法强调权威性、强制性和垂直性，可结合我国 “集中力量办大事” 的制度优势，培养学生服从全局、服务整体的意识。</w:t>
            </w:r>
          </w:p>
        </w:tc>
        <w:tc>
          <w:tcPr>
            <w:tcW w:w="460" w:type="dxa"/>
            <w:tcBorders>
              <w:tl2br w:val="nil"/>
              <w:tr2bl w:val="nil"/>
            </w:tcBorders>
            <w:vAlign w:val="center"/>
          </w:tcPr>
          <w:p w14:paraId="7176ECA2">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4</w:t>
            </w:r>
          </w:p>
        </w:tc>
      </w:tr>
      <w:tr w14:paraId="0DFEE5E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22" w:hRule="atLeast"/>
        </w:trPr>
        <w:tc>
          <w:tcPr>
            <w:tcW w:w="335" w:type="dxa"/>
            <w:tcBorders>
              <w:tl2br w:val="nil"/>
              <w:tr2bl w:val="nil"/>
            </w:tcBorders>
            <w:vAlign w:val="center"/>
          </w:tcPr>
          <w:p w14:paraId="604C6F78">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w:t>
            </w:r>
          </w:p>
        </w:tc>
        <w:tc>
          <w:tcPr>
            <w:tcW w:w="1260" w:type="dxa"/>
            <w:tcBorders>
              <w:tl2br w:val="nil"/>
              <w:tr2bl w:val="nil"/>
            </w:tcBorders>
            <w:vAlign w:val="center"/>
          </w:tcPr>
          <w:p w14:paraId="7AE52571">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模块四</w:t>
            </w:r>
          </w:p>
        </w:tc>
        <w:tc>
          <w:tcPr>
            <w:tcW w:w="405" w:type="dxa"/>
            <w:tcBorders>
              <w:tl2br w:val="nil"/>
              <w:tr2bl w:val="nil"/>
            </w:tcBorders>
            <w:vAlign w:val="center"/>
          </w:tcPr>
          <w:p w14:paraId="228F3EC9">
            <w:pPr>
              <w:spacing w:line="240" w:lineRule="auto"/>
              <w:ind w:left="0" w:leftChars="0" w:firstLine="0" w:firstLineChars="0"/>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指挥与人员</w:t>
            </w:r>
          </w:p>
        </w:tc>
        <w:tc>
          <w:tcPr>
            <w:tcW w:w="2205" w:type="dxa"/>
            <w:tcBorders>
              <w:tl2br w:val="nil"/>
              <w:tr2bl w:val="nil"/>
            </w:tcBorders>
            <w:vAlign w:val="center"/>
          </w:tcPr>
          <w:p w14:paraId="71846931">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①掌握制定多个可行方案的方法，考虑内外部环境因素，学会评估和筛选方案，最终确定最佳方案。</w:t>
            </w:r>
          </w:p>
          <w:p w14:paraId="694CF683">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②熟悉计划编制的步骤和方法，将选定的方案细化为具体的行动计划，明确责任人、时间节点和资源分配。</w:t>
            </w:r>
          </w:p>
          <w:p w14:paraId="454996CC">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③理解不同组织结构的特点和适用场景，能够根据组织的规模和业务需求进行组织结构设计。</w:t>
            </w:r>
          </w:p>
          <w:p w14:paraId="6F215632">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④学习智慧旅游技术（VR模拟和大数据管理监控工具）体验工作流程和可视化分析，能够掌握工具的应用方法，实现从虚拟演练到数据驱动决策的闭环训练。</w:t>
            </w:r>
          </w:p>
        </w:tc>
        <w:tc>
          <w:tcPr>
            <w:tcW w:w="1065" w:type="dxa"/>
            <w:tcBorders>
              <w:tl2br w:val="nil"/>
              <w:tr2bl w:val="nil"/>
            </w:tcBorders>
            <w:vAlign w:val="center"/>
          </w:tcPr>
          <w:p w14:paraId="5877EE7F">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7FD540C2">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2947" w:type="dxa"/>
            <w:tcBorders>
              <w:tl2br w:val="nil"/>
              <w:tr2bl w:val="nil"/>
            </w:tcBorders>
            <w:vAlign w:val="center"/>
          </w:tcPr>
          <w:p w14:paraId="1009E865">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0AA519D4">
            <w:pPr>
              <w:widowControl/>
              <w:spacing w:line="240" w:lineRule="auto"/>
              <w:ind w:left="0" w:lef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国家 “十四五” 规划、“双碳” 目标的制定，体现从宏观战略到具体路径的系统性规划，培养学生 “胸怀‘国之大者’” 的全局视野，理解个人 / 组织目标需与国家战略同频共振</w:t>
            </w:r>
          </w:p>
        </w:tc>
        <w:tc>
          <w:tcPr>
            <w:tcW w:w="460" w:type="dxa"/>
            <w:tcBorders>
              <w:tl2br w:val="nil"/>
              <w:tr2bl w:val="nil"/>
            </w:tcBorders>
            <w:vAlign w:val="center"/>
          </w:tcPr>
          <w:p w14:paraId="45A86353">
            <w:pPr>
              <w:spacing w:line="240" w:lineRule="auto"/>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w:t>
            </w:r>
          </w:p>
        </w:tc>
      </w:tr>
      <w:tr w14:paraId="6FB0185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86" w:hRule="atLeast"/>
        </w:trPr>
        <w:tc>
          <w:tcPr>
            <w:tcW w:w="335" w:type="dxa"/>
            <w:tcBorders>
              <w:tl2br w:val="nil"/>
              <w:tr2bl w:val="nil"/>
            </w:tcBorders>
            <w:vAlign w:val="center"/>
          </w:tcPr>
          <w:p w14:paraId="77452841">
            <w:pPr>
              <w:spacing w:line="240" w:lineRule="auto"/>
              <w:ind w:firstLine="0" w:firstLineChars="0"/>
              <w:rPr>
                <w:rFonts w:hint="default" w:ascii="仿宋" w:hAnsi="仿宋" w:eastAsia="仿宋" w:cs="仿宋"/>
                <w:sz w:val="24"/>
                <w:szCs w:val="24"/>
                <w:lang w:val="en-US" w:eastAsia="zh-CN"/>
              </w:rPr>
            </w:pPr>
            <w:bookmarkStart w:id="34" w:name="_Toc17537"/>
            <w:bookmarkStart w:id="35" w:name="_Toc20287"/>
            <w:bookmarkStart w:id="36" w:name="_Toc502337267"/>
            <w:r>
              <w:rPr>
                <w:rFonts w:hint="eastAsia" w:ascii="仿宋" w:hAnsi="仿宋" w:eastAsia="仿宋" w:cs="仿宋"/>
                <w:sz w:val="24"/>
                <w:szCs w:val="24"/>
                <w:lang w:val="en-US" w:eastAsia="zh-CN"/>
              </w:rPr>
              <w:t>5</w:t>
            </w:r>
          </w:p>
        </w:tc>
        <w:tc>
          <w:tcPr>
            <w:tcW w:w="1260" w:type="dxa"/>
            <w:tcBorders>
              <w:tl2br w:val="nil"/>
              <w:tr2bl w:val="nil"/>
            </w:tcBorders>
            <w:vAlign w:val="center"/>
          </w:tcPr>
          <w:p w14:paraId="17C87394">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模块五</w:t>
            </w:r>
          </w:p>
        </w:tc>
        <w:tc>
          <w:tcPr>
            <w:tcW w:w="405" w:type="dxa"/>
            <w:tcBorders>
              <w:tl2br w:val="nil"/>
              <w:tr2bl w:val="nil"/>
            </w:tcBorders>
            <w:vAlign w:val="center"/>
          </w:tcPr>
          <w:p w14:paraId="2E2F8F53">
            <w:pPr>
              <w:spacing w:line="240" w:lineRule="auto"/>
              <w:ind w:left="0" w:leftChars="0" w:firstLine="0" w:firstLineChars="0"/>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模拟实战</w:t>
            </w:r>
          </w:p>
        </w:tc>
        <w:tc>
          <w:tcPr>
            <w:tcW w:w="2205" w:type="dxa"/>
            <w:tcBorders>
              <w:tl2br w:val="nil"/>
              <w:tr2bl w:val="nil"/>
            </w:tcBorders>
            <w:vAlign w:val="center"/>
          </w:tcPr>
          <w:p w14:paraId="2E02C746">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①理解旅游企业运营沙盘规则</w:t>
            </w:r>
          </w:p>
          <w:p w14:paraId="3899AB17">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②掌握旅游企业运营沙盘全流程打法</w:t>
            </w:r>
          </w:p>
          <w:p w14:paraId="5581F80F">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③了解数字营销概念</w:t>
            </w:r>
          </w:p>
          <w:p w14:paraId="2505A61B">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④掌握在线旅行社数字营销实战模拟</w:t>
            </w:r>
          </w:p>
        </w:tc>
        <w:tc>
          <w:tcPr>
            <w:tcW w:w="1065" w:type="dxa"/>
            <w:tcBorders>
              <w:tl2br w:val="nil"/>
              <w:tr2bl w:val="nil"/>
            </w:tcBorders>
            <w:vAlign w:val="center"/>
          </w:tcPr>
          <w:p w14:paraId="546EB479">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54BCCAE6">
            <w:pPr>
              <w:keepNext w:val="0"/>
              <w:keepLines w:val="0"/>
              <w:widowControl/>
              <w:suppressLineNumbers w:val="0"/>
              <w:spacing w:line="240" w:lineRule="auto"/>
              <w:ind w:left="0" w:leftChars="0" w:firstLine="0" w:firstLineChars="0"/>
              <w:jc w:val="both"/>
              <w:textAlignment w:val="center"/>
              <w:rPr>
                <w:rFonts w:hint="default"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2947" w:type="dxa"/>
            <w:tcBorders>
              <w:tl2br w:val="nil"/>
              <w:tr2bl w:val="nil"/>
            </w:tcBorders>
            <w:vAlign w:val="center"/>
          </w:tcPr>
          <w:p w14:paraId="779F396A">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道德元素&amp;家国元素</w:t>
            </w:r>
          </w:p>
          <w:p w14:paraId="15EAC5E7">
            <w:pPr>
              <w:widowControl/>
              <w:spacing w:line="240" w:lineRule="auto"/>
              <w:ind w:left="0" w:lef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学生用大数据平台实时监测莫高窟预约、碳排及客流，结合2025《旅游电子商务》标准优化线上预约与分流策略；随后佩戴VR协同维护虚拟壁画，体验“数字供养人”角色，感悟“守护文化遗产、坚持绿色共享”的家国情怀与全球担当。</w:t>
            </w:r>
          </w:p>
        </w:tc>
        <w:tc>
          <w:tcPr>
            <w:tcW w:w="460" w:type="dxa"/>
            <w:tcBorders>
              <w:tl2br w:val="nil"/>
              <w:tr2bl w:val="nil"/>
            </w:tcBorders>
            <w:vAlign w:val="center"/>
          </w:tcPr>
          <w:p w14:paraId="3E0D0475">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r w14:paraId="7FEA66F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86" w:hRule="atLeast"/>
        </w:trPr>
        <w:tc>
          <w:tcPr>
            <w:tcW w:w="335" w:type="dxa"/>
            <w:tcBorders>
              <w:tl2br w:val="nil"/>
              <w:tr2bl w:val="nil"/>
            </w:tcBorders>
            <w:vAlign w:val="center"/>
          </w:tcPr>
          <w:p w14:paraId="1B5470D0">
            <w:pPr>
              <w:spacing w:line="240" w:lineRule="auto"/>
              <w:ind w:firstLine="0" w:firstLineChars="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6</w:t>
            </w:r>
          </w:p>
        </w:tc>
        <w:tc>
          <w:tcPr>
            <w:tcW w:w="1260" w:type="dxa"/>
            <w:tcBorders>
              <w:tl2br w:val="nil"/>
              <w:tr2bl w:val="nil"/>
            </w:tcBorders>
            <w:vAlign w:val="center"/>
          </w:tcPr>
          <w:p w14:paraId="0065F97F">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模块六</w:t>
            </w:r>
          </w:p>
        </w:tc>
        <w:tc>
          <w:tcPr>
            <w:tcW w:w="405" w:type="dxa"/>
            <w:tcBorders>
              <w:tl2br w:val="nil"/>
              <w:tr2bl w:val="nil"/>
            </w:tcBorders>
            <w:vAlign w:val="center"/>
          </w:tcPr>
          <w:p w14:paraId="39F716EF">
            <w:pPr>
              <w:spacing w:line="240" w:lineRule="auto"/>
              <w:ind w:left="0" w:leftChars="0" w:firstLine="0" w:firstLineChars="0"/>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沟通与合作</w:t>
            </w:r>
          </w:p>
        </w:tc>
        <w:tc>
          <w:tcPr>
            <w:tcW w:w="2205" w:type="dxa"/>
            <w:tcBorders>
              <w:tl2br w:val="nil"/>
              <w:tr2bl w:val="nil"/>
            </w:tcBorders>
            <w:vAlign w:val="center"/>
          </w:tcPr>
          <w:p w14:paraId="09563350">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①理解管理创新的概念与作用</w:t>
            </w:r>
          </w:p>
          <w:p w14:paraId="3F950250">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②掌握管理创新的过程与影响因素</w:t>
            </w:r>
          </w:p>
          <w:p w14:paraId="2DC76521">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③了解未来管理的趋势与特点</w:t>
            </w:r>
          </w:p>
          <w:p w14:paraId="09B95C58">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④体验旅游数字营销场景模拟</w:t>
            </w:r>
          </w:p>
        </w:tc>
        <w:tc>
          <w:tcPr>
            <w:tcW w:w="1065" w:type="dxa"/>
            <w:tcBorders>
              <w:tl2br w:val="nil"/>
              <w:tr2bl w:val="nil"/>
            </w:tcBorders>
            <w:vAlign w:val="center"/>
          </w:tcPr>
          <w:p w14:paraId="2A0F0003">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11707039">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22182C85">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10155FFE">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2947" w:type="dxa"/>
            <w:tcBorders>
              <w:tl2br w:val="nil"/>
              <w:tr2bl w:val="nil"/>
            </w:tcBorders>
            <w:vAlign w:val="center"/>
          </w:tcPr>
          <w:p w14:paraId="66DAB9E3">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科技自立自强&amp;工匠精神&amp;创新本质&amp;家国元素</w:t>
            </w:r>
          </w:p>
          <w:p w14:paraId="1880AF27">
            <w:pPr>
              <w:widowControl/>
              <w:spacing w:line="240" w:lineRule="auto"/>
              <w:ind w:left="0" w:lef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以华侨城集团自主研发的国产“花橙旅游平台”为样板，学习其如何替代国外SaaS、实现票务—会员—数据一体化管理；通过平台实时大数据大屏，学生亲手优化景区客流与碳排策略，深刻体会科技自立自强对文旅产业链安全可控的战略意义。</w:t>
            </w:r>
          </w:p>
          <w:p w14:paraId="2034CA32">
            <w:pPr>
              <w:widowControl/>
              <w:spacing w:line="240" w:lineRule="auto"/>
              <w:ind w:left="0" w:leftChars="0" w:firstLine="0" w:firstLineChars="0"/>
              <w:rPr>
                <w:rFonts w:hint="eastAsia" w:ascii="仿宋" w:hAnsi="仿宋" w:eastAsia="仿宋" w:cs="仿宋"/>
                <w:kern w:val="0"/>
                <w:sz w:val="24"/>
                <w:szCs w:val="24"/>
                <w:lang w:val="en-US" w:eastAsia="zh-CN"/>
              </w:rPr>
            </w:pPr>
          </w:p>
        </w:tc>
        <w:tc>
          <w:tcPr>
            <w:tcW w:w="460" w:type="dxa"/>
            <w:tcBorders>
              <w:tl2br w:val="nil"/>
              <w:tr2bl w:val="nil"/>
            </w:tcBorders>
            <w:vAlign w:val="center"/>
          </w:tcPr>
          <w:p w14:paraId="2E012252">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4</w:t>
            </w:r>
          </w:p>
        </w:tc>
      </w:tr>
      <w:tr w14:paraId="6AE21C2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89" w:hRule="atLeast"/>
        </w:trPr>
        <w:tc>
          <w:tcPr>
            <w:tcW w:w="335" w:type="dxa"/>
            <w:tcBorders>
              <w:tl2br w:val="nil"/>
              <w:tr2bl w:val="nil"/>
            </w:tcBorders>
            <w:vAlign w:val="center"/>
          </w:tcPr>
          <w:p w14:paraId="20B463C4">
            <w:pPr>
              <w:spacing w:line="240" w:lineRule="auto"/>
              <w:ind w:firstLine="0" w:firstLineChars="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7</w:t>
            </w:r>
          </w:p>
        </w:tc>
        <w:tc>
          <w:tcPr>
            <w:tcW w:w="1260" w:type="dxa"/>
            <w:tcBorders>
              <w:tl2br w:val="nil"/>
              <w:tr2bl w:val="nil"/>
            </w:tcBorders>
            <w:vAlign w:val="center"/>
          </w:tcPr>
          <w:p w14:paraId="588DECC6">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模块七</w:t>
            </w:r>
          </w:p>
        </w:tc>
        <w:tc>
          <w:tcPr>
            <w:tcW w:w="405" w:type="dxa"/>
            <w:tcBorders>
              <w:tl2br w:val="nil"/>
              <w:tr2bl w:val="nil"/>
            </w:tcBorders>
            <w:vAlign w:val="center"/>
          </w:tcPr>
          <w:p w14:paraId="09D4C6D0">
            <w:pPr>
              <w:spacing w:line="240" w:lineRule="auto"/>
              <w:ind w:left="0" w:leftChars="0" w:firstLine="0" w:firstLineChars="0"/>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监控与评价</w:t>
            </w:r>
          </w:p>
        </w:tc>
        <w:tc>
          <w:tcPr>
            <w:tcW w:w="2205" w:type="dxa"/>
            <w:tcBorders>
              <w:tl2br w:val="nil"/>
              <w:tr2bl w:val="nil"/>
            </w:tcBorders>
            <w:vAlign w:val="center"/>
          </w:tcPr>
          <w:p w14:paraId="21DE3598">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①理解评价是在监控基础上，对组织活动的成果、效率和质量进行价值判断的过程</w:t>
            </w:r>
          </w:p>
          <w:p w14:paraId="0D5A164E">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②掌握常用的评价方法</w:t>
            </w:r>
          </w:p>
          <w:p w14:paraId="5A3880F2">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③了解评价工作的流程</w:t>
            </w:r>
          </w:p>
          <w:p w14:paraId="48B64F6C">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④学习数据安全与合规监控理论知识</w:t>
            </w:r>
          </w:p>
        </w:tc>
        <w:tc>
          <w:tcPr>
            <w:tcW w:w="1065" w:type="dxa"/>
            <w:tcBorders>
              <w:tl2br w:val="nil"/>
              <w:tr2bl w:val="nil"/>
            </w:tcBorders>
            <w:vAlign w:val="center"/>
          </w:tcPr>
          <w:p w14:paraId="586EE461">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7B43DAF5">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60E9AE14">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63C082D7">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2947" w:type="dxa"/>
            <w:tcBorders>
              <w:tl2br w:val="nil"/>
              <w:tr2bl w:val="nil"/>
            </w:tcBorders>
            <w:vAlign w:val="center"/>
          </w:tcPr>
          <w:p w14:paraId="51548D83">
            <w:pPr>
              <w:widowControl/>
              <w:spacing w:line="240" w:lineRule="auto"/>
              <w:ind w:left="0" w:leftChars="0" w:firstLine="0" w:firstLineChars="0"/>
              <w:rPr>
                <w:rFonts w:hint="default"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家国情怀</w:t>
            </w:r>
            <w:r>
              <w:rPr>
                <w:rFonts w:hint="eastAsia" w:ascii="仿宋" w:hAnsi="仿宋" w:eastAsia="仿宋" w:cs="仿宋"/>
                <w:b/>
                <w:bCs/>
                <w:kern w:val="0"/>
                <w:sz w:val="24"/>
                <w:szCs w:val="24"/>
                <w:lang w:val="en-US" w:eastAsia="zh-CN"/>
              </w:rPr>
              <w:t>&amp;</w:t>
            </w:r>
            <w:r>
              <w:rPr>
                <w:rFonts w:hint="default" w:ascii="仿宋" w:hAnsi="仿宋" w:eastAsia="仿宋" w:cs="仿宋"/>
                <w:b/>
                <w:bCs/>
                <w:kern w:val="0"/>
                <w:sz w:val="24"/>
                <w:szCs w:val="24"/>
                <w:lang w:val="en-US" w:eastAsia="zh-CN"/>
              </w:rPr>
              <w:t>国家安全意识</w:t>
            </w:r>
            <w:r>
              <w:rPr>
                <w:rFonts w:hint="eastAsia" w:ascii="仿宋" w:hAnsi="仿宋" w:eastAsia="仿宋" w:cs="仿宋"/>
                <w:b/>
                <w:bCs/>
                <w:kern w:val="0"/>
                <w:sz w:val="24"/>
                <w:szCs w:val="24"/>
                <w:lang w:val="en-US" w:eastAsia="zh-CN"/>
              </w:rPr>
              <w:t>&amp;</w:t>
            </w:r>
            <w:r>
              <w:rPr>
                <w:rFonts w:hint="default" w:ascii="仿宋" w:hAnsi="仿宋" w:eastAsia="仿宋" w:cs="仿宋"/>
                <w:b/>
                <w:bCs/>
                <w:kern w:val="0"/>
                <w:sz w:val="24"/>
                <w:szCs w:val="24"/>
                <w:lang w:val="en-US" w:eastAsia="zh-CN"/>
              </w:rPr>
              <w:t>法治精神</w:t>
            </w:r>
            <w:r>
              <w:rPr>
                <w:rFonts w:hint="eastAsia" w:ascii="仿宋" w:hAnsi="仿宋" w:eastAsia="仿宋" w:cs="仿宋"/>
                <w:b/>
                <w:bCs/>
                <w:kern w:val="0"/>
                <w:sz w:val="24"/>
                <w:szCs w:val="24"/>
                <w:lang w:val="en-US" w:eastAsia="zh-CN"/>
              </w:rPr>
              <w:t>&amp;</w:t>
            </w:r>
            <w:r>
              <w:rPr>
                <w:rFonts w:hint="default" w:ascii="仿宋" w:hAnsi="仿宋" w:eastAsia="仿宋" w:cs="仿宋"/>
                <w:b/>
                <w:bCs/>
                <w:kern w:val="0"/>
                <w:sz w:val="24"/>
                <w:szCs w:val="24"/>
                <w:lang w:val="en-US" w:eastAsia="zh-CN"/>
              </w:rPr>
              <w:t>工匠精神</w:t>
            </w:r>
          </w:p>
          <w:p w14:paraId="7315D10D">
            <w:pPr>
              <w:widowControl/>
              <w:spacing w:line="240" w:lineRule="auto"/>
              <w:ind w:left="0" w:leftChars="0" w:firstLine="0" w:firstLineChars="0"/>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在讲解 “企业内部控制”时，结合《公司法》《劳动法》要求，强调监控必须遵循 “合法合规” 底线，批判 “监控摄像头无死角侵犯员工隐私”“数据造假粉饰财务报表” 等行为，培养学生的法治意识和职业伦理。</w:t>
            </w:r>
          </w:p>
        </w:tc>
        <w:tc>
          <w:tcPr>
            <w:tcW w:w="460" w:type="dxa"/>
            <w:tcBorders>
              <w:tl2br w:val="nil"/>
              <w:tr2bl w:val="nil"/>
            </w:tcBorders>
            <w:vAlign w:val="center"/>
          </w:tcPr>
          <w:p w14:paraId="57200268">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bl>
    <w:p w14:paraId="24A9F7DC">
      <w:pPr>
        <w:pStyle w:val="2"/>
        <w:ind w:firstLine="653"/>
      </w:pPr>
      <w:r>
        <w:rPr>
          <w:rFonts w:hint="eastAsia"/>
        </w:rPr>
        <w:t>七、学习评价</w:t>
      </w:r>
      <w:bookmarkEnd w:id="34"/>
      <w:bookmarkEnd w:id="35"/>
      <w:bookmarkEnd w:id="36"/>
    </w:p>
    <w:p w14:paraId="0C122B27">
      <w:pPr>
        <w:spacing w:line="360" w:lineRule="auto"/>
        <w:ind w:firstLine="560"/>
      </w:pPr>
      <w:r>
        <w:rPr>
          <w:rFonts w:hint="eastAsia"/>
          <w:b/>
          <w:bCs/>
        </w:rPr>
        <w:t>本课程达标要求：</w:t>
      </w:r>
    </w:p>
    <w:p w14:paraId="6F855911">
      <w:pPr>
        <w:ind w:firstLine="480"/>
        <w:jc w:val="center"/>
        <w:rPr>
          <w:rFonts w:ascii="仿宋_GB2312" w:hAnsi="仿宋_GB2312" w:cs="仿宋_GB2312"/>
          <w:b/>
          <w:bCs/>
          <w:sz w:val="24"/>
          <w:szCs w:val="21"/>
          <w:highlight w:val="none"/>
        </w:rPr>
      </w:pPr>
      <w:r>
        <w:rPr>
          <w:rFonts w:hint="eastAsia" w:ascii="仿宋_GB2312" w:hAnsi="仿宋_GB2312" w:cs="仿宋_GB2312"/>
          <w:b/>
          <w:bCs/>
          <w:sz w:val="24"/>
          <w:szCs w:val="21"/>
          <w:highlight w:val="none"/>
        </w:rPr>
        <w:t>表4</w:t>
      </w:r>
      <w:r>
        <w:rPr>
          <w:rFonts w:ascii="仿宋_GB2312" w:hAnsi="仿宋_GB2312" w:cs="仿宋_GB2312"/>
          <w:b/>
          <w:bCs/>
          <w:sz w:val="24"/>
          <w:szCs w:val="21"/>
          <w:highlight w:val="none"/>
        </w:rPr>
        <w:t xml:space="preserve">. </w:t>
      </w:r>
      <w:r>
        <w:rPr>
          <w:rFonts w:hint="eastAsia" w:ascii="仿宋_GB2312" w:hAnsi="仿宋_GB2312" w:cs="仿宋_GB2312"/>
          <w:b/>
          <w:bCs/>
          <w:sz w:val="24"/>
          <w:szCs w:val="21"/>
          <w:highlight w:val="none"/>
        </w:rPr>
        <w:t>学习评价表</w:t>
      </w:r>
    </w:p>
    <w:tbl>
      <w:tblPr>
        <w:tblStyle w:val="15"/>
        <w:tblW w:w="8962" w:type="dxa"/>
        <w:tblInd w:w="-19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2"/>
        <w:gridCol w:w="1197"/>
        <w:gridCol w:w="997"/>
        <w:gridCol w:w="4275"/>
        <w:gridCol w:w="1262"/>
        <w:gridCol w:w="789"/>
      </w:tblGrid>
      <w:tr w14:paraId="16327AE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442" w:type="dxa"/>
            <w:tcBorders>
              <w:tl2br w:val="nil"/>
              <w:tr2bl w:val="nil"/>
            </w:tcBorders>
            <w:vAlign w:val="center"/>
          </w:tcPr>
          <w:p w14:paraId="28C9F477">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评价环节</w:t>
            </w:r>
          </w:p>
        </w:tc>
        <w:tc>
          <w:tcPr>
            <w:tcW w:w="1197" w:type="dxa"/>
            <w:tcBorders>
              <w:tl2br w:val="nil"/>
              <w:tr2bl w:val="nil"/>
            </w:tcBorders>
            <w:vAlign w:val="center"/>
          </w:tcPr>
          <w:p w14:paraId="1013DDCD">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课程内容</w:t>
            </w:r>
          </w:p>
          <w:p w14:paraId="562EF7E7">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（模块/项目）</w:t>
            </w:r>
          </w:p>
        </w:tc>
        <w:tc>
          <w:tcPr>
            <w:tcW w:w="997" w:type="dxa"/>
            <w:tcBorders>
              <w:tl2br w:val="nil"/>
              <w:tr2bl w:val="nil"/>
            </w:tcBorders>
            <w:vAlign w:val="center"/>
          </w:tcPr>
          <w:p w14:paraId="2EA213D0">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w:t>
            </w:r>
            <w:r>
              <w:rPr>
                <w:rFonts w:hint="eastAsia" w:ascii="仿宋" w:hAnsi="仿宋" w:eastAsia="仿宋" w:cs="仿宋"/>
                <w:b/>
                <w:bCs/>
                <w:sz w:val="24"/>
                <w:szCs w:val="24"/>
                <w:lang w:val="en-US" w:eastAsia="zh-CN"/>
              </w:rPr>
              <w:t xml:space="preserve"> </w:t>
            </w:r>
            <w:r>
              <w:rPr>
                <w:rFonts w:hint="eastAsia" w:ascii="仿宋" w:hAnsi="仿宋" w:eastAsia="仿宋" w:cs="仿宋"/>
                <w:b/>
                <w:bCs/>
                <w:sz w:val="24"/>
                <w:szCs w:val="24"/>
              </w:rPr>
              <w:t>任务</w:t>
            </w:r>
          </w:p>
        </w:tc>
        <w:tc>
          <w:tcPr>
            <w:tcW w:w="4275" w:type="dxa"/>
            <w:tcBorders>
              <w:tl2br w:val="nil"/>
              <w:tr2bl w:val="nil"/>
            </w:tcBorders>
            <w:vAlign w:val="center"/>
          </w:tcPr>
          <w:p w14:paraId="18A10D6C">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评价标准</w:t>
            </w:r>
          </w:p>
          <w:p w14:paraId="762B4CA8">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（学习产出合格要求）</w:t>
            </w:r>
          </w:p>
        </w:tc>
        <w:tc>
          <w:tcPr>
            <w:tcW w:w="1262" w:type="dxa"/>
            <w:tcBorders>
              <w:tl2br w:val="nil"/>
              <w:tr2bl w:val="nil"/>
            </w:tcBorders>
            <w:vAlign w:val="center"/>
          </w:tcPr>
          <w:p w14:paraId="19949F18">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评价方法</w:t>
            </w:r>
          </w:p>
          <w:p w14:paraId="39983759">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（方法、工具、场所）</w:t>
            </w:r>
          </w:p>
        </w:tc>
        <w:tc>
          <w:tcPr>
            <w:tcW w:w="789" w:type="dxa"/>
            <w:tcBorders>
              <w:tl2br w:val="nil"/>
              <w:tr2bl w:val="nil"/>
            </w:tcBorders>
            <w:vAlign w:val="center"/>
          </w:tcPr>
          <w:p w14:paraId="1F631760">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占比</w:t>
            </w:r>
          </w:p>
          <w:p w14:paraId="3649A537">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w:t>
            </w:r>
          </w:p>
        </w:tc>
      </w:tr>
      <w:tr w14:paraId="6644A75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restart"/>
            <w:tcBorders>
              <w:tl2br w:val="nil"/>
              <w:tr2bl w:val="nil"/>
            </w:tcBorders>
            <w:vAlign w:val="center"/>
          </w:tcPr>
          <w:p w14:paraId="46A4A4BF">
            <w:pPr>
              <w:spacing w:line="240" w:lineRule="auto"/>
              <w:ind w:firstLine="0" w:firstLineChars="0"/>
              <w:jc w:val="center"/>
              <w:rPr>
                <w:rFonts w:hint="eastAsia" w:ascii="仿宋" w:hAnsi="仿宋" w:eastAsia="仿宋" w:cs="仿宋"/>
                <w:b/>
                <w:bCs/>
                <w:sz w:val="24"/>
                <w:szCs w:val="24"/>
              </w:rPr>
            </w:pPr>
          </w:p>
          <w:p w14:paraId="0AAA5C38">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b/>
                <w:bCs/>
                <w:sz w:val="24"/>
                <w:szCs w:val="24"/>
              </w:rPr>
              <w:t>过程性评价</w:t>
            </w:r>
          </w:p>
        </w:tc>
        <w:tc>
          <w:tcPr>
            <w:tcW w:w="1197" w:type="dxa"/>
            <w:tcBorders>
              <w:tl2br w:val="nil"/>
              <w:tr2bl w:val="nil"/>
            </w:tcBorders>
            <w:vAlign w:val="center"/>
          </w:tcPr>
          <w:p w14:paraId="083BF5EB">
            <w:pPr>
              <w:widowControl/>
              <w:spacing w:line="240" w:lineRule="auto"/>
              <w:ind w:left="0" w:leftChars="0" w:firstLine="0" w:firstLineChars="0"/>
              <w:jc w:val="both"/>
              <w:rPr>
                <w:rFonts w:hint="eastAsia" w:ascii="仿宋" w:hAnsi="仿宋" w:eastAsia="仿宋" w:cs="仿宋"/>
                <w:sz w:val="24"/>
                <w:szCs w:val="24"/>
              </w:rPr>
            </w:pPr>
            <w:r>
              <w:rPr>
                <w:rFonts w:hint="eastAsia" w:ascii="仿宋" w:hAnsi="仿宋" w:eastAsia="仿宋" w:cs="仿宋"/>
                <w:kern w:val="0"/>
                <w:sz w:val="24"/>
                <w:szCs w:val="24"/>
                <w:lang w:val="en-US" w:eastAsia="zh-CN"/>
              </w:rPr>
              <w:t>模块一</w:t>
            </w:r>
          </w:p>
        </w:tc>
        <w:tc>
          <w:tcPr>
            <w:tcW w:w="997" w:type="dxa"/>
            <w:tcBorders>
              <w:tl2br w:val="nil"/>
              <w:tr2bl w:val="nil"/>
            </w:tcBorders>
            <w:vAlign w:val="center"/>
          </w:tcPr>
          <w:p w14:paraId="5D391180">
            <w:pPr>
              <w:spacing w:line="240" w:lineRule="auto"/>
              <w:ind w:left="0" w:leftChars="0" w:firstLine="0" w:firstLineChars="0"/>
              <w:jc w:val="left"/>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管理与管理学基础</w:t>
            </w:r>
          </w:p>
        </w:tc>
        <w:tc>
          <w:tcPr>
            <w:tcW w:w="4275" w:type="dxa"/>
            <w:tcBorders>
              <w:tl2br w:val="nil"/>
              <w:tr2bl w:val="nil"/>
            </w:tcBorders>
            <w:vAlign w:val="center"/>
          </w:tcPr>
          <w:p w14:paraId="7D566897">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1.理解管理是由计划、组织、指挥、协调及控制等职能为要素组成的活动过程。</w:t>
            </w:r>
          </w:p>
          <w:p w14:paraId="660CAFD2">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2.掌握管理的基本职能。</w:t>
            </w:r>
          </w:p>
          <w:p w14:paraId="1A2DB70C">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sz w:val="24"/>
                <w:szCs w:val="24"/>
              </w:rPr>
            </w:pPr>
            <w:r>
              <w:rPr>
                <w:rFonts w:hint="eastAsia" w:ascii="仿宋" w:hAnsi="仿宋" w:eastAsia="仿宋" w:cs="仿宋"/>
                <w:kern w:val="0"/>
                <w:sz w:val="24"/>
                <w:szCs w:val="24"/>
                <w:lang w:val="en-US" w:eastAsia="zh-CN" w:bidi="ar-SA"/>
              </w:rPr>
              <w:t>3.管理思维。</w:t>
            </w:r>
          </w:p>
        </w:tc>
        <w:tc>
          <w:tcPr>
            <w:tcW w:w="1262" w:type="dxa"/>
            <w:tcBorders>
              <w:tl2br w:val="nil"/>
              <w:tr2bl w:val="nil"/>
            </w:tcBorders>
            <w:vAlign w:val="center"/>
          </w:tcPr>
          <w:p w14:paraId="5DF42E7E">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789" w:type="dxa"/>
            <w:tcBorders>
              <w:tl2br w:val="nil"/>
              <w:tr2bl w:val="nil"/>
            </w:tcBorders>
            <w:vAlign w:val="center"/>
          </w:tcPr>
          <w:p w14:paraId="6EB87527">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5%</w:t>
            </w:r>
          </w:p>
        </w:tc>
      </w:tr>
      <w:tr w14:paraId="1773D81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47" w:hRule="atLeast"/>
        </w:trPr>
        <w:tc>
          <w:tcPr>
            <w:tcW w:w="442" w:type="dxa"/>
            <w:vMerge w:val="continue"/>
            <w:tcBorders>
              <w:tl2br w:val="nil"/>
              <w:tr2bl w:val="nil"/>
            </w:tcBorders>
            <w:vAlign w:val="center"/>
          </w:tcPr>
          <w:p w14:paraId="215EA75A">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77FD9A13">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模块二</w:t>
            </w:r>
          </w:p>
        </w:tc>
        <w:tc>
          <w:tcPr>
            <w:tcW w:w="997" w:type="dxa"/>
            <w:tcBorders>
              <w:tl2br w:val="nil"/>
              <w:tr2bl w:val="nil"/>
            </w:tcBorders>
            <w:vAlign w:val="center"/>
          </w:tcPr>
          <w:p w14:paraId="44108118">
            <w:pPr>
              <w:spacing w:line="240" w:lineRule="auto"/>
              <w:ind w:left="0" w:leftChars="0" w:firstLine="0" w:firstLineChars="0"/>
              <w:outlineLvl w:val="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管理的基本原则</w:t>
            </w:r>
          </w:p>
        </w:tc>
        <w:tc>
          <w:tcPr>
            <w:tcW w:w="4275" w:type="dxa"/>
            <w:tcBorders>
              <w:tl2br w:val="nil"/>
              <w:tr2bl w:val="nil"/>
            </w:tcBorders>
            <w:vAlign w:val="center"/>
          </w:tcPr>
          <w:p w14:paraId="4381600F">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w:t>
            </w:r>
            <w:r>
              <w:rPr>
                <w:rFonts w:hint="default" w:ascii="仿宋" w:hAnsi="仿宋" w:eastAsia="仿宋" w:cs="仿宋"/>
                <w:kern w:val="0"/>
                <w:sz w:val="24"/>
                <w:szCs w:val="24"/>
                <w:lang w:val="en-US" w:eastAsia="zh-CN" w:bidi="ar-SA"/>
              </w:rPr>
              <w:t>掌握 的核心理论与原则</w:t>
            </w:r>
            <w:r>
              <w:rPr>
                <w:rFonts w:hint="eastAsia" w:ascii="仿宋" w:hAnsi="仿宋" w:eastAsia="仿宋" w:cs="仿宋"/>
                <w:kern w:val="0"/>
                <w:sz w:val="24"/>
                <w:szCs w:val="24"/>
                <w:lang w:val="en-US" w:eastAsia="zh-CN" w:bidi="ar-SA"/>
              </w:rPr>
              <w:t>。</w:t>
            </w:r>
          </w:p>
          <w:p w14:paraId="24C5DF36">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w:t>
            </w:r>
            <w:r>
              <w:rPr>
                <w:rFonts w:hint="default" w:ascii="仿宋" w:hAnsi="仿宋" w:eastAsia="仿宋" w:cs="仿宋"/>
                <w:kern w:val="0"/>
                <w:sz w:val="24"/>
                <w:szCs w:val="24"/>
                <w:lang w:val="en-US" w:eastAsia="zh-CN" w:bidi="ar-SA"/>
              </w:rPr>
              <w:t>具备 的应用能力与素养</w:t>
            </w:r>
            <w:r>
              <w:rPr>
                <w:rFonts w:hint="eastAsia" w:ascii="仿宋" w:hAnsi="仿宋" w:eastAsia="仿宋" w:cs="仿宋"/>
                <w:kern w:val="0"/>
                <w:sz w:val="24"/>
                <w:szCs w:val="24"/>
                <w:lang w:val="en-US" w:eastAsia="zh-CN" w:bidi="ar-SA"/>
              </w:rPr>
              <w:t>。</w:t>
            </w:r>
          </w:p>
        </w:tc>
        <w:tc>
          <w:tcPr>
            <w:tcW w:w="1262" w:type="dxa"/>
            <w:tcBorders>
              <w:tl2br w:val="nil"/>
              <w:tr2bl w:val="nil"/>
            </w:tcBorders>
            <w:vAlign w:val="center"/>
          </w:tcPr>
          <w:p w14:paraId="643FB05A">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789" w:type="dxa"/>
            <w:tcBorders>
              <w:tl2br w:val="nil"/>
              <w:tr2bl w:val="nil"/>
            </w:tcBorders>
            <w:vAlign w:val="center"/>
          </w:tcPr>
          <w:p w14:paraId="5B4C46E9">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r w14:paraId="2C21372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42975F90">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3D75B1EB">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模块三</w:t>
            </w:r>
          </w:p>
        </w:tc>
        <w:tc>
          <w:tcPr>
            <w:tcW w:w="997" w:type="dxa"/>
            <w:tcBorders>
              <w:tl2br w:val="nil"/>
              <w:tr2bl w:val="nil"/>
            </w:tcBorders>
            <w:vAlign w:val="center"/>
          </w:tcPr>
          <w:p w14:paraId="5F2163EB">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管理的基本方法</w:t>
            </w:r>
          </w:p>
        </w:tc>
        <w:tc>
          <w:tcPr>
            <w:tcW w:w="4275" w:type="dxa"/>
            <w:tcBorders>
              <w:tl2br w:val="nil"/>
              <w:tr2bl w:val="nil"/>
            </w:tcBorders>
            <w:vAlign w:val="center"/>
          </w:tcPr>
          <w:p w14:paraId="39768545">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1.掌握传统管理方法的底层逻辑。</w:t>
            </w:r>
          </w:p>
          <w:p w14:paraId="24E5F899">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2.掌握现代方法的工具与模型。</w:t>
            </w:r>
          </w:p>
          <w:p w14:paraId="32D653AB">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3.了解</w:t>
            </w:r>
            <w:r>
              <w:rPr>
                <w:rFonts w:hint="default" w:ascii="仿宋" w:hAnsi="仿宋" w:eastAsia="仿宋" w:cs="仿宋"/>
                <w:kern w:val="0"/>
                <w:sz w:val="24"/>
                <w:szCs w:val="24"/>
                <w:lang w:val="en-US" w:eastAsia="zh-CN" w:bidi="ar-SA"/>
              </w:rPr>
              <w:t>管理方法的发展脉络</w:t>
            </w:r>
          </w:p>
        </w:tc>
        <w:tc>
          <w:tcPr>
            <w:tcW w:w="1262" w:type="dxa"/>
            <w:tcBorders>
              <w:tl2br w:val="nil"/>
              <w:tr2bl w:val="nil"/>
            </w:tcBorders>
            <w:vAlign w:val="center"/>
          </w:tcPr>
          <w:p w14:paraId="783CA926">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789" w:type="dxa"/>
            <w:tcBorders>
              <w:tl2br w:val="nil"/>
              <w:tr2bl w:val="nil"/>
            </w:tcBorders>
            <w:vAlign w:val="center"/>
          </w:tcPr>
          <w:p w14:paraId="6AD26C19">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14:paraId="277835C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7FDE6AF6">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380220CA">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模块四</w:t>
            </w:r>
          </w:p>
        </w:tc>
        <w:tc>
          <w:tcPr>
            <w:tcW w:w="997" w:type="dxa"/>
            <w:tcBorders>
              <w:tl2br w:val="nil"/>
              <w:tr2bl w:val="nil"/>
            </w:tcBorders>
            <w:vAlign w:val="center"/>
          </w:tcPr>
          <w:p w14:paraId="20A33112">
            <w:pPr>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管理的过程</w:t>
            </w:r>
          </w:p>
        </w:tc>
        <w:tc>
          <w:tcPr>
            <w:tcW w:w="4275" w:type="dxa"/>
            <w:tcBorders>
              <w:tl2br w:val="nil"/>
              <w:tr2bl w:val="nil"/>
            </w:tcBorders>
            <w:vAlign w:val="center"/>
          </w:tcPr>
          <w:p w14:paraId="656814B8">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1.掌握目标设定与资管规划</w:t>
            </w:r>
          </w:p>
          <w:p w14:paraId="2174E52A">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2.掌握架构设计与协作赋能</w:t>
            </w:r>
          </w:p>
          <w:p w14:paraId="38FFE059">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3.具备系统性问题解决能力</w:t>
            </w:r>
          </w:p>
        </w:tc>
        <w:tc>
          <w:tcPr>
            <w:tcW w:w="1262" w:type="dxa"/>
            <w:tcBorders>
              <w:tl2br w:val="nil"/>
              <w:tr2bl w:val="nil"/>
            </w:tcBorders>
            <w:vAlign w:val="center"/>
          </w:tcPr>
          <w:p w14:paraId="388F2A5F">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789" w:type="dxa"/>
            <w:tcBorders>
              <w:tl2br w:val="nil"/>
              <w:tr2bl w:val="nil"/>
            </w:tcBorders>
            <w:vAlign w:val="center"/>
          </w:tcPr>
          <w:p w14:paraId="76A72356">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14:paraId="2BBCDB1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54D95751">
            <w:pPr>
              <w:spacing w:line="240" w:lineRule="auto"/>
              <w:ind w:firstLine="0" w:firstLineChars="0"/>
              <w:jc w:val="center"/>
              <w:rPr>
                <w:rFonts w:hint="eastAsia" w:ascii="仿宋" w:hAnsi="仿宋" w:eastAsia="仿宋" w:cs="仿宋"/>
                <w:b/>
                <w:bCs/>
                <w:sz w:val="24"/>
                <w:szCs w:val="24"/>
              </w:rPr>
            </w:pPr>
            <w:bookmarkStart w:id="37" w:name="_Toc502337268"/>
            <w:bookmarkStart w:id="38" w:name="_Toc20745"/>
            <w:bookmarkStart w:id="39" w:name="_Toc18233"/>
          </w:p>
        </w:tc>
        <w:tc>
          <w:tcPr>
            <w:tcW w:w="1197" w:type="dxa"/>
            <w:tcBorders>
              <w:tl2br w:val="nil"/>
              <w:tr2bl w:val="nil"/>
            </w:tcBorders>
            <w:vAlign w:val="center"/>
          </w:tcPr>
          <w:p w14:paraId="23F87D47">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模块五</w:t>
            </w:r>
          </w:p>
        </w:tc>
        <w:tc>
          <w:tcPr>
            <w:tcW w:w="997" w:type="dxa"/>
            <w:tcBorders>
              <w:tl2br w:val="nil"/>
              <w:tr2bl w:val="nil"/>
            </w:tcBorders>
            <w:vAlign w:val="center"/>
          </w:tcPr>
          <w:p w14:paraId="24CAB5C7">
            <w:pPr>
              <w:spacing w:line="240" w:lineRule="auto"/>
              <w:ind w:left="0" w:lef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模拟实战</w:t>
            </w:r>
          </w:p>
        </w:tc>
        <w:tc>
          <w:tcPr>
            <w:tcW w:w="4275" w:type="dxa"/>
            <w:tcBorders>
              <w:tl2br w:val="nil"/>
              <w:tr2bl w:val="nil"/>
            </w:tcBorders>
            <w:vAlign w:val="center"/>
          </w:tcPr>
          <w:p w14:paraId="29860FF0">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1.掌握旅游企业运营沙盘玩法</w:t>
            </w:r>
          </w:p>
          <w:p w14:paraId="624A3074">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2.具备在线旅行社数字营销能力</w:t>
            </w:r>
          </w:p>
        </w:tc>
        <w:tc>
          <w:tcPr>
            <w:tcW w:w="1262" w:type="dxa"/>
            <w:tcBorders>
              <w:tl2br w:val="nil"/>
              <w:tr2bl w:val="nil"/>
            </w:tcBorders>
            <w:vAlign w:val="center"/>
          </w:tcPr>
          <w:p w14:paraId="70B13C57">
            <w:pPr>
              <w:spacing w:line="240" w:lineRule="auto"/>
              <w:ind w:left="0" w:leftChars="0" w:firstLine="0" w:firstLineChars="0"/>
              <w:jc w:val="center"/>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考查评价</w:t>
            </w:r>
          </w:p>
        </w:tc>
        <w:tc>
          <w:tcPr>
            <w:tcW w:w="789" w:type="dxa"/>
            <w:tcBorders>
              <w:tl2br w:val="nil"/>
              <w:tr2bl w:val="nil"/>
            </w:tcBorders>
            <w:vAlign w:val="center"/>
          </w:tcPr>
          <w:p w14:paraId="7B8E997F">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45%</w:t>
            </w:r>
          </w:p>
        </w:tc>
      </w:tr>
      <w:tr w14:paraId="34162E4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31EBEED2">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0B534EE3">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模块六</w:t>
            </w:r>
          </w:p>
        </w:tc>
        <w:tc>
          <w:tcPr>
            <w:tcW w:w="997" w:type="dxa"/>
            <w:tcBorders>
              <w:tl2br w:val="nil"/>
              <w:tr2bl w:val="nil"/>
            </w:tcBorders>
            <w:vAlign w:val="center"/>
          </w:tcPr>
          <w:p w14:paraId="07F67176">
            <w:pPr>
              <w:spacing w:line="240" w:lineRule="auto"/>
              <w:ind w:left="0" w:lef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管理的创新与展望</w:t>
            </w:r>
          </w:p>
        </w:tc>
        <w:tc>
          <w:tcPr>
            <w:tcW w:w="4275" w:type="dxa"/>
            <w:tcBorders>
              <w:tl2br w:val="nil"/>
              <w:tr2bl w:val="nil"/>
            </w:tcBorders>
            <w:vAlign w:val="center"/>
          </w:tcPr>
          <w:p w14:paraId="1F153C59">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1.理解创新的本质</w:t>
            </w:r>
          </w:p>
          <w:p w14:paraId="0A00DCF5">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2.掌握可持续商业模式设计的方法论</w:t>
            </w:r>
          </w:p>
          <w:p w14:paraId="781BBD10">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default" w:ascii="Segoe UI" w:hAnsi="Segoe UI" w:eastAsia="宋体" w:cs="Segoe UI"/>
                <w:i w:val="0"/>
                <w:iCs w:val="0"/>
                <w:caps w:val="0"/>
                <w:spacing w:val="0"/>
                <w:sz w:val="19"/>
                <w:szCs w:val="19"/>
                <w:shd w:val="clear" w:fill="FFFFFF"/>
                <w:lang w:val="en-US" w:eastAsia="zh-CN"/>
              </w:rPr>
            </w:pPr>
            <w:r>
              <w:rPr>
                <w:rFonts w:hint="eastAsia" w:ascii="仿宋" w:hAnsi="仿宋" w:eastAsia="仿宋" w:cs="仿宋"/>
                <w:kern w:val="0"/>
                <w:sz w:val="24"/>
                <w:szCs w:val="24"/>
                <w:lang w:val="en-US" w:eastAsia="zh-CN" w:bidi="ar-SA"/>
              </w:rPr>
              <w:t>3.理解“中国特色管理理论” 的探索</w:t>
            </w:r>
          </w:p>
        </w:tc>
        <w:tc>
          <w:tcPr>
            <w:tcW w:w="1262" w:type="dxa"/>
            <w:tcBorders>
              <w:tl2br w:val="nil"/>
              <w:tr2bl w:val="nil"/>
            </w:tcBorders>
            <w:vAlign w:val="center"/>
          </w:tcPr>
          <w:p w14:paraId="32274838">
            <w:pPr>
              <w:spacing w:line="240" w:lineRule="auto"/>
              <w:ind w:left="0" w:leftChars="0" w:firstLine="0" w:firstLineChars="0"/>
              <w:jc w:val="center"/>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考查评价</w:t>
            </w:r>
          </w:p>
        </w:tc>
        <w:tc>
          <w:tcPr>
            <w:tcW w:w="789" w:type="dxa"/>
            <w:tcBorders>
              <w:tl2br w:val="nil"/>
              <w:tr2bl w:val="nil"/>
            </w:tcBorders>
            <w:vAlign w:val="center"/>
          </w:tcPr>
          <w:p w14:paraId="0EBFA16B">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r w14:paraId="1E8EDEF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15EF21C0">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38DF6D11">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模块七</w:t>
            </w:r>
          </w:p>
        </w:tc>
        <w:tc>
          <w:tcPr>
            <w:tcW w:w="997" w:type="dxa"/>
            <w:tcBorders>
              <w:tl2br w:val="nil"/>
              <w:tr2bl w:val="nil"/>
            </w:tcBorders>
            <w:vAlign w:val="center"/>
          </w:tcPr>
          <w:p w14:paraId="52101BA9">
            <w:pPr>
              <w:spacing w:line="240" w:lineRule="auto"/>
              <w:ind w:left="0" w:lef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监控与评价</w:t>
            </w:r>
          </w:p>
        </w:tc>
        <w:tc>
          <w:tcPr>
            <w:tcW w:w="4275" w:type="dxa"/>
            <w:tcBorders>
              <w:tl2br w:val="nil"/>
              <w:tr2bl w:val="nil"/>
            </w:tcBorders>
            <w:vAlign w:val="center"/>
          </w:tcPr>
          <w:p w14:paraId="245DD632">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1.掌握常用的评价方法</w:t>
            </w:r>
          </w:p>
          <w:p w14:paraId="3DCC34C8">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2.掌握评价工作的流程</w:t>
            </w:r>
          </w:p>
          <w:p w14:paraId="02FB61A4">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p>
        </w:tc>
        <w:tc>
          <w:tcPr>
            <w:tcW w:w="1262" w:type="dxa"/>
            <w:tcBorders>
              <w:tl2br w:val="nil"/>
              <w:tr2bl w:val="nil"/>
            </w:tcBorders>
            <w:vAlign w:val="center"/>
          </w:tcPr>
          <w:p w14:paraId="645A567C">
            <w:pPr>
              <w:spacing w:line="240" w:lineRule="auto"/>
              <w:ind w:left="0" w:leftChars="0" w:firstLine="0" w:firstLineChars="0"/>
              <w:jc w:val="center"/>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考查评价</w:t>
            </w:r>
          </w:p>
        </w:tc>
        <w:tc>
          <w:tcPr>
            <w:tcW w:w="789" w:type="dxa"/>
            <w:tcBorders>
              <w:tl2br w:val="nil"/>
              <w:tr2bl w:val="nil"/>
            </w:tcBorders>
            <w:vAlign w:val="center"/>
          </w:tcPr>
          <w:p w14:paraId="58ABEE99">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bookmarkStart w:id="56" w:name="_GoBack"/>
            <w:bookmarkEnd w:id="56"/>
          </w:p>
        </w:tc>
      </w:tr>
    </w:tbl>
    <w:p w14:paraId="1A544E42">
      <w:pPr>
        <w:pStyle w:val="2"/>
        <w:ind w:firstLine="653"/>
      </w:pPr>
      <w:r>
        <w:rPr>
          <w:rFonts w:hint="eastAsia"/>
        </w:rPr>
        <w:t>八、教学资源</w:t>
      </w:r>
      <w:bookmarkEnd w:id="37"/>
      <w:bookmarkEnd w:id="38"/>
      <w:bookmarkEnd w:id="39"/>
    </w:p>
    <w:p w14:paraId="5857D757">
      <w:pPr>
        <w:pStyle w:val="3"/>
        <w:ind w:firstLine="560"/>
        <w:rPr>
          <w:rFonts w:hint="eastAsia"/>
        </w:rPr>
      </w:pPr>
      <w:bookmarkStart w:id="40" w:name="_Toc20587"/>
      <w:bookmarkStart w:id="41" w:name="_Toc1991"/>
      <w:r>
        <w:rPr>
          <w:rFonts w:hint="eastAsia"/>
        </w:rPr>
        <w:t>（一）主要参考教材</w:t>
      </w:r>
      <w:bookmarkEnd w:id="40"/>
      <w:bookmarkEnd w:id="41"/>
    </w:p>
    <w:p w14:paraId="1D0F5D3D">
      <w:pPr>
        <w:bidi w:val="0"/>
        <w:rPr>
          <w:rFonts w:hint="eastAsia"/>
          <w:lang w:val="en-US" w:eastAsia="zh-CN"/>
        </w:rPr>
      </w:pPr>
      <w:r>
        <w:rPr>
          <w:rFonts w:hint="eastAsia"/>
          <w:lang w:val="en-US" w:eastAsia="zh-CN"/>
        </w:rPr>
        <w:t>1.单凤儒 《管理学基础》（第八版）. “十四五”职业教育国家规划教材，2024.</w:t>
      </w:r>
    </w:p>
    <w:p w14:paraId="0A4AE3D8">
      <w:pPr>
        <w:pStyle w:val="3"/>
        <w:numPr>
          <w:ilvl w:val="0"/>
          <w:numId w:val="6"/>
        </w:numPr>
        <w:ind w:firstLine="560"/>
        <w:rPr>
          <w:rFonts w:hint="eastAsia"/>
        </w:rPr>
      </w:pPr>
      <w:bookmarkStart w:id="42" w:name="_Toc23228"/>
      <w:bookmarkStart w:id="43" w:name="_Toc29665"/>
      <w:r>
        <w:rPr>
          <w:rFonts w:hint="eastAsia"/>
        </w:rPr>
        <w:t>其他参考资料</w:t>
      </w:r>
      <w:bookmarkEnd w:id="42"/>
      <w:bookmarkEnd w:id="43"/>
    </w:p>
    <w:p w14:paraId="10B5598A">
      <w:pPr>
        <w:bidi w:val="0"/>
        <w:rPr>
          <w:rFonts w:hint="eastAsia"/>
          <w:lang w:val="en-US" w:eastAsia="zh-CN"/>
        </w:rPr>
      </w:pPr>
      <w:r>
        <w:rPr>
          <w:rFonts w:hint="eastAsia"/>
          <w:lang w:val="en-US" w:eastAsia="zh-CN"/>
        </w:rPr>
        <w:t>1.单凤儒 《管理学基础》（第八版）. 高等教育出版社，2024.</w:t>
      </w:r>
    </w:p>
    <w:p w14:paraId="28F74F70">
      <w:pPr>
        <w:bidi w:val="0"/>
        <w:rPr>
          <w:rFonts w:hint="eastAsia"/>
          <w:lang w:val="en-US" w:eastAsia="zh-CN"/>
        </w:rPr>
      </w:pPr>
      <w:r>
        <w:rPr>
          <w:rFonts w:hint="eastAsia"/>
          <w:lang w:val="en-US" w:eastAsia="zh-CN"/>
        </w:rPr>
        <w:t>2.席波，李强，李国彩. 《管理学基础》（第三版）.“高等教育出版社，2024.</w:t>
      </w:r>
    </w:p>
    <w:p w14:paraId="1E8CD050">
      <w:pPr>
        <w:bidi w:val="0"/>
        <w:rPr>
          <w:rFonts w:hint="default"/>
          <w:lang w:val="en-US" w:eastAsia="zh-CN"/>
        </w:rPr>
      </w:pPr>
      <w:r>
        <w:rPr>
          <w:rFonts w:hint="eastAsia"/>
          <w:lang w:val="en-US" w:eastAsia="zh-CN"/>
        </w:rPr>
        <w:t>3.汤飚，孙颖荪.《管理学基础》. 高等教育出版社，2024.</w:t>
      </w:r>
    </w:p>
    <w:p w14:paraId="3A435705">
      <w:pPr>
        <w:pStyle w:val="3"/>
        <w:ind w:firstLine="560"/>
      </w:pPr>
      <w:bookmarkStart w:id="44" w:name="_Toc21776"/>
      <w:bookmarkStart w:id="45" w:name="_Toc6077"/>
      <w:r>
        <w:rPr>
          <w:rFonts w:hint="eastAsia"/>
        </w:rPr>
        <w:t>（三）实训条件</w:t>
      </w:r>
      <w:bookmarkEnd w:id="44"/>
      <w:bookmarkEnd w:id="45"/>
    </w:p>
    <w:p w14:paraId="48307A5F">
      <w:pPr>
        <w:bidi w:val="0"/>
        <w:rPr>
          <w:rFonts w:hint="eastAsia" w:ascii="仿宋" w:hAnsi="仿宋" w:eastAsia="仿宋" w:cs="仿宋"/>
          <w:color w:val="auto"/>
          <w:sz w:val="30"/>
          <w:szCs w:val="30"/>
        </w:rPr>
      </w:pPr>
      <w:bookmarkStart w:id="46" w:name="_Toc29888"/>
      <w:r>
        <w:rPr>
          <w:rFonts w:hint="eastAsia" w:ascii="仿宋_GB2312" w:hAnsi="仿宋_GB2312" w:eastAsia="仿宋_GB2312" w:cs="仿宋_GB2312"/>
          <w:color w:val="auto"/>
          <w:sz w:val="30"/>
          <w:szCs w:val="30"/>
        </w:rPr>
        <w:t>1.硬件设施：</w:t>
      </w:r>
      <w:r>
        <w:rPr>
          <w:rFonts w:hint="eastAsia" w:ascii="仿宋" w:hAnsi="仿宋" w:eastAsia="仿宋" w:cs="仿宋"/>
          <w:color w:val="auto"/>
          <w:sz w:val="30"/>
          <w:szCs w:val="30"/>
        </w:rPr>
        <w:t>小组讨论室、多媒体教室</w:t>
      </w:r>
    </w:p>
    <w:p w14:paraId="0C62A66E">
      <w:pPr>
        <w:bidi w:val="0"/>
        <w:rPr>
          <w:rFonts w:hint="default" w:ascii="仿宋" w:hAnsi="仿宋" w:eastAsia="仿宋" w:cs="仿宋"/>
          <w:color w:val="auto"/>
          <w:sz w:val="30"/>
          <w:szCs w:val="30"/>
          <w:lang w:val="en-US" w:eastAsia="zh-CN"/>
        </w:rPr>
      </w:pPr>
      <w:r>
        <w:rPr>
          <w:rFonts w:hint="eastAsia" w:ascii="仿宋_GB2312" w:hAnsi="仿宋_GB2312" w:eastAsia="仿宋_GB2312" w:cs="仿宋_GB2312"/>
          <w:color w:val="auto"/>
          <w:sz w:val="30"/>
          <w:szCs w:val="30"/>
        </w:rPr>
        <w:t>2.软件设施：</w:t>
      </w:r>
      <w:r>
        <w:rPr>
          <w:rFonts w:hint="eastAsia" w:ascii="仿宋" w:hAnsi="仿宋" w:eastAsia="仿宋" w:cs="仿宋"/>
          <w:color w:val="auto"/>
          <w:sz w:val="30"/>
          <w:szCs w:val="30"/>
        </w:rPr>
        <w:t>多媒体软件</w:t>
      </w:r>
    </w:p>
    <w:p w14:paraId="4496511E">
      <w:pPr>
        <w:pStyle w:val="3"/>
        <w:ind w:firstLine="560"/>
        <w:rPr>
          <w:rFonts w:hint="eastAsia"/>
        </w:rPr>
      </w:pPr>
      <w:bookmarkStart w:id="47" w:name="_Toc97"/>
      <w:r>
        <w:rPr>
          <w:rFonts w:hint="eastAsia"/>
        </w:rPr>
        <w:t>（四）信息化教学资源</w:t>
      </w:r>
      <w:bookmarkEnd w:id="46"/>
      <w:bookmarkEnd w:id="47"/>
    </w:p>
    <w:p w14:paraId="34A1C4FF">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pPr>
      <w:r>
        <w:rPr>
          <w:rFonts w:hint="eastAsia" w:ascii="仿宋_GB2312" w:hAnsi="宋体" w:eastAsia="仿宋_GB2312" w:cs="宋体"/>
          <w:kern w:val="0"/>
          <w:sz w:val="28"/>
          <w:szCs w:val="28"/>
          <w:lang w:val="en-US" w:eastAsia="zh-CN"/>
        </w:rPr>
        <w:t>PPT、慕课</w:t>
      </w:r>
      <w:r>
        <w:rPr>
          <w:rFonts w:hint="eastAsia" w:ascii="仿宋_GB2312" w:hAnsi="宋体" w:cs="宋体"/>
          <w:kern w:val="0"/>
          <w:sz w:val="28"/>
          <w:szCs w:val="28"/>
          <w:lang w:val="en-US" w:eastAsia="zh-CN"/>
        </w:rPr>
        <w:t>、</w:t>
      </w:r>
      <w:r>
        <w:rPr>
          <w:rFonts w:hint="eastAsia" w:ascii="仿宋_GB2312" w:hAnsi="宋体" w:eastAsia="仿宋_GB2312" w:cs="宋体"/>
          <w:kern w:val="0"/>
          <w:sz w:val="28"/>
          <w:szCs w:val="28"/>
          <w:lang w:val="en-US" w:eastAsia="zh-CN"/>
        </w:rPr>
        <w:t>教学质量管理检测系统</w:t>
      </w:r>
    </w:p>
    <w:p w14:paraId="3C5703F3">
      <w:pPr>
        <w:pStyle w:val="2"/>
        <w:numPr>
          <w:ilvl w:val="0"/>
          <w:numId w:val="7"/>
        </w:numPr>
        <w:bidi w:val="0"/>
        <w:rPr>
          <w:rFonts w:hint="eastAsia"/>
          <w:lang w:eastAsia="zh-CN"/>
        </w:rPr>
      </w:pPr>
      <w:bookmarkStart w:id="48" w:name="_Toc6694"/>
      <w:bookmarkStart w:id="49" w:name="_Toc10388"/>
      <w:bookmarkStart w:id="50" w:name="_Hlk90479468"/>
      <w:r>
        <w:rPr>
          <w:rFonts w:hint="eastAsia"/>
        </w:rPr>
        <w:t>师资要求</w:t>
      </w:r>
      <w:bookmarkEnd w:id="48"/>
      <w:bookmarkEnd w:id="49"/>
      <w:r>
        <w:rPr>
          <w:rFonts w:hint="eastAsia"/>
          <w:lang w:eastAsia="zh-CN"/>
        </w:rPr>
        <w:tab/>
      </w:r>
    </w:p>
    <w:p w14:paraId="20C949D0">
      <w:pPr>
        <w:pStyle w:val="3"/>
        <w:bidi w:val="0"/>
        <w:rPr>
          <w:rFonts w:hint="eastAsia"/>
        </w:rPr>
      </w:pPr>
      <w:bookmarkStart w:id="51" w:name="_Toc30081"/>
      <w:r>
        <w:rPr>
          <w:rFonts w:hint="eastAsia"/>
          <w:lang w:eastAsia="zh-CN"/>
        </w:rPr>
        <w:t>（</w:t>
      </w:r>
      <w:r>
        <w:rPr>
          <w:rFonts w:hint="eastAsia"/>
          <w:lang w:val="en-US" w:eastAsia="zh-CN"/>
        </w:rPr>
        <w:t>一</w:t>
      </w:r>
      <w:r>
        <w:rPr>
          <w:rFonts w:hint="eastAsia"/>
          <w:lang w:eastAsia="zh-CN"/>
        </w:rPr>
        <w:t>）</w:t>
      </w:r>
      <w:r>
        <w:rPr>
          <w:rFonts w:hint="eastAsia"/>
        </w:rPr>
        <w:t>对“双师型”教学团队的基本要求</w:t>
      </w:r>
      <w:bookmarkEnd w:id="51"/>
    </w:p>
    <w:p w14:paraId="37BF1601">
      <w:pPr>
        <w:bidi w:val="0"/>
        <w:rPr>
          <w:rFonts w:hint="eastAsia"/>
        </w:rPr>
      </w:pPr>
      <w:r>
        <w:rPr>
          <w:rFonts w:hint="eastAsia"/>
          <w:lang w:val="en-US" w:eastAsia="zh-CN"/>
        </w:rPr>
        <w:t>任课教师应取得旅游管理类硕士学位并具备教学资质，具有行业企业工作经验，取得行业的职业资格中级以上资格证书，具备本专业扎实的专业知识、丰富的实践经验和大数据分析或智慧旅游工具操作能力。</w:t>
      </w:r>
    </w:p>
    <w:p w14:paraId="05309966">
      <w:pPr>
        <w:pStyle w:val="3"/>
        <w:bidi w:val="0"/>
        <w:rPr>
          <w:rFonts w:hint="eastAsia"/>
          <w:lang w:eastAsia="zh-CN"/>
        </w:rPr>
      </w:pPr>
      <w:bookmarkStart w:id="52" w:name="_Toc29403"/>
      <w:r>
        <w:rPr>
          <w:rFonts w:hint="eastAsia"/>
          <w:lang w:eastAsia="zh-CN"/>
        </w:rPr>
        <w:t>（</w:t>
      </w:r>
      <w:r>
        <w:rPr>
          <w:rFonts w:hint="eastAsia"/>
          <w:lang w:val="en-US" w:eastAsia="zh-CN"/>
        </w:rPr>
        <w:t>二</w:t>
      </w:r>
      <w:r>
        <w:rPr>
          <w:rFonts w:hint="eastAsia"/>
          <w:lang w:eastAsia="zh-CN"/>
        </w:rPr>
        <w:t>）对兼职教师的基本要求</w:t>
      </w:r>
      <w:bookmarkEnd w:id="52"/>
    </w:p>
    <w:p w14:paraId="46252C6D">
      <w:pPr>
        <w:keepNext w:val="0"/>
        <w:keepLines w:val="0"/>
        <w:widowControl w:val="0"/>
        <w:suppressLineNumbers w:val="0"/>
        <w:spacing w:before="0" w:beforeAutospacing="0" w:after="0" w:afterAutospacing="0" w:line="600" w:lineRule="exact"/>
        <w:ind w:left="0" w:right="0" w:firstLine="560" w:firstLineChars="200"/>
        <w:jc w:val="both"/>
        <w:outlineLvl w:val="9"/>
        <w:rPr>
          <w:rFonts w:hint="eastAsia" w:ascii="仿宋_GB2312" w:hAnsi="宋体" w:eastAsia="仿宋_GB2312" w:cs="宋体"/>
          <w:kern w:val="0"/>
          <w:sz w:val="28"/>
          <w:szCs w:val="28"/>
          <w:lang w:val="en-US" w:eastAsia="zh-CN" w:bidi="ar"/>
        </w:rPr>
      </w:pPr>
      <w:r>
        <w:rPr>
          <w:rFonts w:hint="eastAsia" w:ascii="仿宋_GB2312" w:hAnsi="宋体" w:eastAsia="仿宋_GB2312" w:cs="宋体"/>
          <w:kern w:val="0"/>
          <w:sz w:val="28"/>
          <w:szCs w:val="28"/>
          <w:lang w:val="en-US" w:eastAsia="zh-CN" w:bidi="ar"/>
        </w:rPr>
        <w:t>任课教师应具有行业经验</w:t>
      </w:r>
      <w:r>
        <w:rPr>
          <w:rFonts w:hint="eastAsia" w:ascii="仿宋_GB2312" w:hAnsi="宋体" w:cs="宋体"/>
          <w:kern w:val="0"/>
          <w:sz w:val="28"/>
          <w:szCs w:val="28"/>
          <w:lang w:val="en-US" w:eastAsia="zh-CN" w:bidi="ar"/>
        </w:rPr>
        <w:t>超过2年</w:t>
      </w:r>
      <w:r>
        <w:rPr>
          <w:rFonts w:hint="eastAsia" w:ascii="仿宋_GB2312" w:hAnsi="宋体" w:eastAsia="仿宋_GB2312" w:cs="宋体"/>
          <w:kern w:val="0"/>
          <w:sz w:val="28"/>
          <w:szCs w:val="28"/>
          <w:lang w:val="en-US" w:eastAsia="zh-CN" w:bidi="ar"/>
        </w:rPr>
        <w:t>。</w:t>
      </w:r>
      <w:bookmarkStart w:id="53" w:name="_Toc29184"/>
      <w:bookmarkStart w:id="54" w:name="_Toc502337269"/>
      <w:bookmarkStart w:id="55" w:name="_Toc28766"/>
    </w:p>
    <w:p w14:paraId="14514DD5">
      <w:pPr>
        <w:pStyle w:val="2"/>
        <w:numPr>
          <w:ilvl w:val="0"/>
          <w:numId w:val="7"/>
        </w:numPr>
        <w:bidi w:val="0"/>
        <w:rPr>
          <w:rFonts w:hint="eastAsia"/>
        </w:rPr>
      </w:pPr>
      <w:r>
        <w:rPr>
          <w:rFonts w:hint="eastAsia"/>
        </w:rPr>
        <w:t>其它说明</w:t>
      </w:r>
      <w:bookmarkEnd w:id="53"/>
      <w:bookmarkEnd w:id="54"/>
      <w:bookmarkEnd w:id="55"/>
    </w:p>
    <w:bookmarkEnd w:id="3"/>
    <w:bookmarkEnd w:id="4"/>
    <w:bookmarkEnd w:id="5"/>
    <w:bookmarkEnd w:id="50"/>
    <w:p w14:paraId="70D6E8B0">
      <w:pPr>
        <w:ind w:firstLine="560"/>
        <w:rPr>
          <w:rFonts w:ascii="仿宋_GB2312" w:hAnsi="宋体" w:cs="宋体"/>
          <w:kern w:val="0"/>
          <w:szCs w:val="28"/>
        </w:rPr>
      </w:pPr>
    </w:p>
    <w:sectPr>
      <w:headerReference r:id="rId12" w:type="default"/>
      <w:footerReference r:id="rId13" w:type="default"/>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200247B" w:usb2="00000009" w:usb3="00000000" w:csb0="200001FF" w:csb1="00000000"/>
  </w:font>
  <w:font w:name="方正流行体简体">
    <w:altName w:val="宋体"/>
    <w:panose1 w:val="020B0604020202020204"/>
    <w:charset w:val="86"/>
    <w:family w:val="script"/>
    <w:pitch w:val="default"/>
    <w:sig w:usb0="00000000" w:usb1="00000000" w:usb2="00000000" w:usb3="00000000" w:csb0="00040000" w:csb1="00000000"/>
  </w:font>
  <w:font w:name="隶书">
    <w:altName w:val="微软雅黑"/>
    <w:panose1 w:val="0201050906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3AD82">
    <w:pPr>
      <w:pStyle w:val="9"/>
      <w:ind w:firstLine="360"/>
      <w:jc w:val="center"/>
    </w:pPr>
    <w:r>
      <w:rPr>
        <w:lang w:val="zh-CN"/>
      </w:rPr>
      <w:t xml:space="preserve"> </w:t>
    </w:r>
  </w:p>
  <w:p w14:paraId="521A434B">
    <w:pPr>
      <w:pStyle w:val="9"/>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66F6F6">
    <w:pPr>
      <w:pStyle w:val="9"/>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8981A1">
    <w:pPr>
      <w:pStyle w:val="9"/>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E0D54F">
    <w:pPr>
      <w:pStyle w:val="9"/>
      <w:ind w:firstLine="360"/>
      <w:jc w:val="center"/>
    </w:pPr>
    <w:r>
      <w:rPr>
        <w:lang w:val="zh-CN"/>
      </w:rPr>
      <w:t xml:space="preserve"> </w:t>
    </w:r>
  </w:p>
  <w:p w14:paraId="2E4943B8">
    <w:pPr>
      <w:pStyle w:val="9"/>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60BBCC">
    <w:pPr>
      <w:pStyle w:val="9"/>
      <w:ind w:firstLine="360"/>
      <w:jc w:val="center"/>
    </w:pPr>
    <w:r>
      <w:rPr>
        <w:lang w:val="zh-CN"/>
      </w:rPr>
      <w:t xml:space="preserve"> </w:t>
    </w:r>
  </w:p>
  <w:p w14:paraId="1850CE88">
    <w:pPr>
      <w:pStyle w:val="9"/>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71B4DB">
    <w:pPr>
      <w:pStyle w:val="10"/>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5BF28">
    <w:pPr>
      <w:pStyle w:val="10"/>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A06509">
    <w:pPr>
      <w:pStyle w:val="10"/>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9A6B75">
    <w:pPr>
      <w:pStyle w:val="10"/>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CC08A0"/>
    <w:multiLevelType w:val="singleLevel"/>
    <w:tmpl w:val="98CC08A0"/>
    <w:lvl w:ilvl="0" w:tentative="0">
      <w:start w:val="9"/>
      <w:numFmt w:val="chineseCounting"/>
      <w:suff w:val="nothing"/>
      <w:lvlText w:val="%1、"/>
      <w:lvlJc w:val="left"/>
      <w:rPr>
        <w:rFonts w:hint="eastAsia"/>
      </w:rPr>
    </w:lvl>
  </w:abstractNum>
  <w:abstractNum w:abstractNumId="1">
    <w:nsid w:val="9C46F812"/>
    <w:multiLevelType w:val="singleLevel"/>
    <w:tmpl w:val="9C46F812"/>
    <w:lvl w:ilvl="0" w:tentative="0">
      <w:start w:val="2"/>
      <w:numFmt w:val="chineseCounting"/>
      <w:suff w:val="nothing"/>
      <w:lvlText w:val="%1、"/>
      <w:lvlJc w:val="left"/>
      <w:rPr>
        <w:rFonts w:hint="eastAsia"/>
      </w:rPr>
    </w:lvl>
  </w:abstractNum>
  <w:abstractNum w:abstractNumId="2">
    <w:nsid w:val="F509E762"/>
    <w:multiLevelType w:val="singleLevel"/>
    <w:tmpl w:val="F509E762"/>
    <w:lvl w:ilvl="0" w:tentative="0">
      <w:start w:val="1"/>
      <w:numFmt w:val="decimal"/>
      <w:lvlText w:val="%1."/>
      <w:lvlJc w:val="left"/>
      <w:pPr>
        <w:tabs>
          <w:tab w:val="left" w:pos="312"/>
        </w:tabs>
      </w:pPr>
    </w:lvl>
  </w:abstractNum>
  <w:abstractNum w:abstractNumId="3">
    <w:nsid w:val="2A23BC07"/>
    <w:multiLevelType w:val="singleLevel"/>
    <w:tmpl w:val="2A23BC07"/>
    <w:lvl w:ilvl="0" w:tentative="0">
      <w:start w:val="1"/>
      <w:numFmt w:val="chineseCounting"/>
      <w:suff w:val="nothing"/>
      <w:lvlText w:val="（%1）"/>
      <w:lvlJc w:val="left"/>
      <w:rPr>
        <w:rFonts w:hint="eastAsia"/>
      </w:rPr>
    </w:lvl>
  </w:abstractNum>
  <w:abstractNum w:abstractNumId="4">
    <w:nsid w:val="2D037ED3"/>
    <w:multiLevelType w:val="singleLevel"/>
    <w:tmpl w:val="2D037ED3"/>
    <w:lvl w:ilvl="0" w:tentative="0">
      <w:start w:val="1"/>
      <w:numFmt w:val="decimal"/>
      <w:lvlText w:val="%1."/>
      <w:lvlJc w:val="left"/>
      <w:pPr>
        <w:tabs>
          <w:tab w:val="left" w:pos="312"/>
        </w:tabs>
      </w:pPr>
    </w:lvl>
  </w:abstractNum>
  <w:abstractNum w:abstractNumId="5">
    <w:nsid w:val="2D85F5C8"/>
    <w:multiLevelType w:val="singleLevel"/>
    <w:tmpl w:val="2D85F5C8"/>
    <w:lvl w:ilvl="0" w:tentative="0">
      <w:start w:val="1"/>
      <w:numFmt w:val="decimal"/>
      <w:lvlText w:val="%1."/>
      <w:lvlJc w:val="left"/>
      <w:pPr>
        <w:tabs>
          <w:tab w:val="left" w:pos="312"/>
        </w:tabs>
      </w:pPr>
    </w:lvl>
  </w:abstractNum>
  <w:abstractNum w:abstractNumId="6">
    <w:nsid w:val="490B5BE4"/>
    <w:multiLevelType w:val="singleLevel"/>
    <w:tmpl w:val="490B5BE4"/>
    <w:lvl w:ilvl="0" w:tentative="0">
      <w:start w:val="2"/>
      <w:numFmt w:val="chineseCounting"/>
      <w:suff w:val="nothing"/>
      <w:lvlText w:val="（%1）"/>
      <w:lvlJc w:val="left"/>
      <w:rPr>
        <w:rFonts w:hint="eastAsia"/>
      </w:rPr>
    </w:lvl>
  </w:abstractNum>
  <w:num w:numId="1">
    <w:abstractNumId w:val="1"/>
  </w:num>
  <w:num w:numId="2">
    <w:abstractNumId w:val="3"/>
  </w:num>
  <w:num w:numId="3">
    <w:abstractNumId w:val="5"/>
  </w:num>
  <w:num w:numId="4">
    <w:abstractNumId w:val="4"/>
  </w:num>
  <w:num w:numId="5">
    <w:abstractNumId w:val="2"/>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RiMmVmNWZhNmIzYzM4OTJiZTUyZmY2MTZhZGU2YTUifQ=="/>
  </w:docVars>
  <w:rsids>
    <w:rsidRoot w:val="2D276405"/>
    <w:rsid w:val="00010287"/>
    <w:rsid w:val="000158C8"/>
    <w:rsid w:val="00037198"/>
    <w:rsid w:val="000375A8"/>
    <w:rsid w:val="0007188A"/>
    <w:rsid w:val="00074CE6"/>
    <w:rsid w:val="0008653B"/>
    <w:rsid w:val="00090EF3"/>
    <w:rsid w:val="00094F85"/>
    <w:rsid w:val="000A1C1B"/>
    <w:rsid w:val="000B0F18"/>
    <w:rsid w:val="000B35BF"/>
    <w:rsid w:val="000C04B5"/>
    <w:rsid w:val="000C2990"/>
    <w:rsid w:val="000D20C4"/>
    <w:rsid w:val="000D6D09"/>
    <w:rsid w:val="000F38AE"/>
    <w:rsid w:val="000F46CF"/>
    <w:rsid w:val="000F550A"/>
    <w:rsid w:val="00100708"/>
    <w:rsid w:val="00105E63"/>
    <w:rsid w:val="00146A3A"/>
    <w:rsid w:val="00175FB5"/>
    <w:rsid w:val="00180B79"/>
    <w:rsid w:val="001B6CE5"/>
    <w:rsid w:val="001B77EB"/>
    <w:rsid w:val="001C2D0D"/>
    <w:rsid w:val="001C7F18"/>
    <w:rsid w:val="001E24DF"/>
    <w:rsid w:val="00236E56"/>
    <w:rsid w:val="0024285D"/>
    <w:rsid w:val="0024605A"/>
    <w:rsid w:val="00254379"/>
    <w:rsid w:val="0025646E"/>
    <w:rsid w:val="00256E2B"/>
    <w:rsid w:val="00257929"/>
    <w:rsid w:val="00283618"/>
    <w:rsid w:val="002866D3"/>
    <w:rsid w:val="00291611"/>
    <w:rsid w:val="00293859"/>
    <w:rsid w:val="002B729E"/>
    <w:rsid w:val="002C3F12"/>
    <w:rsid w:val="002C5955"/>
    <w:rsid w:val="002D2D69"/>
    <w:rsid w:val="002D35C9"/>
    <w:rsid w:val="002E5D4E"/>
    <w:rsid w:val="002E75E6"/>
    <w:rsid w:val="002F4B15"/>
    <w:rsid w:val="00315D23"/>
    <w:rsid w:val="00343746"/>
    <w:rsid w:val="0034627C"/>
    <w:rsid w:val="003527C8"/>
    <w:rsid w:val="00393025"/>
    <w:rsid w:val="003943F1"/>
    <w:rsid w:val="0039488F"/>
    <w:rsid w:val="003A0055"/>
    <w:rsid w:val="003A276A"/>
    <w:rsid w:val="003C296D"/>
    <w:rsid w:val="003C4887"/>
    <w:rsid w:val="00420E90"/>
    <w:rsid w:val="00421B4A"/>
    <w:rsid w:val="004223F9"/>
    <w:rsid w:val="00436BFD"/>
    <w:rsid w:val="00444450"/>
    <w:rsid w:val="00450237"/>
    <w:rsid w:val="00451470"/>
    <w:rsid w:val="00474CAE"/>
    <w:rsid w:val="004A01B3"/>
    <w:rsid w:val="004C2D0B"/>
    <w:rsid w:val="004E3CB8"/>
    <w:rsid w:val="00525082"/>
    <w:rsid w:val="0053300E"/>
    <w:rsid w:val="00541337"/>
    <w:rsid w:val="00550B06"/>
    <w:rsid w:val="00563F44"/>
    <w:rsid w:val="00563FA7"/>
    <w:rsid w:val="00564686"/>
    <w:rsid w:val="005735A7"/>
    <w:rsid w:val="0057602E"/>
    <w:rsid w:val="00577132"/>
    <w:rsid w:val="00582729"/>
    <w:rsid w:val="005A700E"/>
    <w:rsid w:val="005B708F"/>
    <w:rsid w:val="005D7110"/>
    <w:rsid w:val="005F05C9"/>
    <w:rsid w:val="00603C22"/>
    <w:rsid w:val="0065768E"/>
    <w:rsid w:val="00665764"/>
    <w:rsid w:val="006724D7"/>
    <w:rsid w:val="006925D3"/>
    <w:rsid w:val="006A6985"/>
    <w:rsid w:val="006D4EB4"/>
    <w:rsid w:val="006F25D1"/>
    <w:rsid w:val="006F400D"/>
    <w:rsid w:val="00703E4B"/>
    <w:rsid w:val="0073131C"/>
    <w:rsid w:val="00754B54"/>
    <w:rsid w:val="0075702C"/>
    <w:rsid w:val="00762712"/>
    <w:rsid w:val="00763524"/>
    <w:rsid w:val="00772CB3"/>
    <w:rsid w:val="00782257"/>
    <w:rsid w:val="00784E49"/>
    <w:rsid w:val="007A1ECB"/>
    <w:rsid w:val="007A2F9C"/>
    <w:rsid w:val="007D290A"/>
    <w:rsid w:val="007D77EA"/>
    <w:rsid w:val="007E72B7"/>
    <w:rsid w:val="007F4531"/>
    <w:rsid w:val="00842DBC"/>
    <w:rsid w:val="008446F5"/>
    <w:rsid w:val="00850B99"/>
    <w:rsid w:val="00872314"/>
    <w:rsid w:val="00875636"/>
    <w:rsid w:val="00885D26"/>
    <w:rsid w:val="00885F99"/>
    <w:rsid w:val="008B7E2C"/>
    <w:rsid w:val="008C0E17"/>
    <w:rsid w:val="008C559B"/>
    <w:rsid w:val="008E5607"/>
    <w:rsid w:val="008E785F"/>
    <w:rsid w:val="008F2620"/>
    <w:rsid w:val="00913C39"/>
    <w:rsid w:val="00922E25"/>
    <w:rsid w:val="00924CCF"/>
    <w:rsid w:val="00962643"/>
    <w:rsid w:val="00980CCE"/>
    <w:rsid w:val="00992186"/>
    <w:rsid w:val="00992A56"/>
    <w:rsid w:val="009973B3"/>
    <w:rsid w:val="009A6E9D"/>
    <w:rsid w:val="009B50F0"/>
    <w:rsid w:val="009C1E3A"/>
    <w:rsid w:val="009C4B9D"/>
    <w:rsid w:val="009D3A60"/>
    <w:rsid w:val="009D5976"/>
    <w:rsid w:val="009E677F"/>
    <w:rsid w:val="009F1CF0"/>
    <w:rsid w:val="009F4FDD"/>
    <w:rsid w:val="009F7201"/>
    <w:rsid w:val="00A05002"/>
    <w:rsid w:val="00A132BF"/>
    <w:rsid w:val="00A320A4"/>
    <w:rsid w:val="00A50419"/>
    <w:rsid w:val="00A55D5B"/>
    <w:rsid w:val="00A639E4"/>
    <w:rsid w:val="00A673D7"/>
    <w:rsid w:val="00A92FC2"/>
    <w:rsid w:val="00A9664F"/>
    <w:rsid w:val="00A96E49"/>
    <w:rsid w:val="00AB52B8"/>
    <w:rsid w:val="00AB5304"/>
    <w:rsid w:val="00AD14B2"/>
    <w:rsid w:val="00B16084"/>
    <w:rsid w:val="00B3044C"/>
    <w:rsid w:val="00B42037"/>
    <w:rsid w:val="00B5546F"/>
    <w:rsid w:val="00B702D3"/>
    <w:rsid w:val="00B774B1"/>
    <w:rsid w:val="00BC6E20"/>
    <w:rsid w:val="00BF15E8"/>
    <w:rsid w:val="00BF3086"/>
    <w:rsid w:val="00C0769A"/>
    <w:rsid w:val="00C12F4A"/>
    <w:rsid w:val="00C26F59"/>
    <w:rsid w:val="00C2787E"/>
    <w:rsid w:val="00C40A99"/>
    <w:rsid w:val="00C436AA"/>
    <w:rsid w:val="00C4409F"/>
    <w:rsid w:val="00C53479"/>
    <w:rsid w:val="00C62D53"/>
    <w:rsid w:val="00C64E28"/>
    <w:rsid w:val="00C84D06"/>
    <w:rsid w:val="00C97FA1"/>
    <w:rsid w:val="00CA5FCE"/>
    <w:rsid w:val="00CB0CE3"/>
    <w:rsid w:val="00CB7501"/>
    <w:rsid w:val="00CD2011"/>
    <w:rsid w:val="00CD4EEC"/>
    <w:rsid w:val="00CE4677"/>
    <w:rsid w:val="00CE5C7F"/>
    <w:rsid w:val="00CF770E"/>
    <w:rsid w:val="00D002CF"/>
    <w:rsid w:val="00D44DAA"/>
    <w:rsid w:val="00D519E3"/>
    <w:rsid w:val="00D5645B"/>
    <w:rsid w:val="00D601BB"/>
    <w:rsid w:val="00D7011C"/>
    <w:rsid w:val="00D74B40"/>
    <w:rsid w:val="00D8629B"/>
    <w:rsid w:val="00D91BBB"/>
    <w:rsid w:val="00DA5244"/>
    <w:rsid w:val="00DA6138"/>
    <w:rsid w:val="00DD4C42"/>
    <w:rsid w:val="00DD58DB"/>
    <w:rsid w:val="00DE0387"/>
    <w:rsid w:val="00DE4D08"/>
    <w:rsid w:val="00DF1AA5"/>
    <w:rsid w:val="00DF6647"/>
    <w:rsid w:val="00E03334"/>
    <w:rsid w:val="00E24646"/>
    <w:rsid w:val="00E6536B"/>
    <w:rsid w:val="00E716AF"/>
    <w:rsid w:val="00E96458"/>
    <w:rsid w:val="00EA7732"/>
    <w:rsid w:val="00EB7705"/>
    <w:rsid w:val="00EC4BE6"/>
    <w:rsid w:val="00EF0B59"/>
    <w:rsid w:val="00EF1B5F"/>
    <w:rsid w:val="00F00AA7"/>
    <w:rsid w:val="00F01C90"/>
    <w:rsid w:val="00F03D56"/>
    <w:rsid w:val="00F13AE7"/>
    <w:rsid w:val="00F13E29"/>
    <w:rsid w:val="00F170B8"/>
    <w:rsid w:val="00F2030D"/>
    <w:rsid w:val="00F350EF"/>
    <w:rsid w:val="00F6105C"/>
    <w:rsid w:val="00F70C6F"/>
    <w:rsid w:val="00F733B8"/>
    <w:rsid w:val="00F97C40"/>
    <w:rsid w:val="00FA7642"/>
    <w:rsid w:val="00FC2753"/>
    <w:rsid w:val="00FC6B31"/>
    <w:rsid w:val="00FD0E2D"/>
    <w:rsid w:val="00FD7241"/>
    <w:rsid w:val="00FE1860"/>
    <w:rsid w:val="00FE6999"/>
    <w:rsid w:val="011D4067"/>
    <w:rsid w:val="039F5A8F"/>
    <w:rsid w:val="04F36FCB"/>
    <w:rsid w:val="06264DD4"/>
    <w:rsid w:val="071F59E5"/>
    <w:rsid w:val="0B4B3EED"/>
    <w:rsid w:val="0C517D7C"/>
    <w:rsid w:val="13C6123F"/>
    <w:rsid w:val="152B70E8"/>
    <w:rsid w:val="15D56A42"/>
    <w:rsid w:val="16584725"/>
    <w:rsid w:val="169325B8"/>
    <w:rsid w:val="172F601F"/>
    <w:rsid w:val="1761002E"/>
    <w:rsid w:val="17735D8C"/>
    <w:rsid w:val="18493218"/>
    <w:rsid w:val="18BA29FE"/>
    <w:rsid w:val="1D1A4DAC"/>
    <w:rsid w:val="1DD153BE"/>
    <w:rsid w:val="1E0C36DB"/>
    <w:rsid w:val="20B401EC"/>
    <w:rsid w:val="2392755E"/>
    <w:rsid w:val="26085746"/>
    <w:rsid w:val="273677B9"/>
    <w:rsid w:val="29790743"/>
    <w:rsid w:val="2D276405"/>
    <w:rsid w:val="2E7B7787"/>
    <w:rsid w:val="2F6A77B8"/>
    <w:rsid w:val="30611F0A"/>
    <w:rsid w:val="317D4E81"/>
    <w:rsid w:val="31864093"/>
    <w:rsid w:val="33670DA7"/>
    <w:rsid w:val="33BD324E"/>
    <w:rsid w:val="34710AAF"/>
    <w:rsid w:val="35361213"/>
    <w:rsid w:val="3596524A"/>
    <w:rsid w:val="385F4697"/>
    <w:rsid w:val="3A9340B4"/>
    <w:rsid w:val="3BB74E5E"/>
    <w:rsid w:val="3DD96F86"/>
    <w:rsid w:val="3EBC5DDD"/>
    <w:rsid w:val="3ECA0ADA"/>
    <w:rsid w:val="3FF42CA8"/>
    <w:rsid w:val="44883AC1"/>
    <w:rsid w:val="44890655"/>
    <w:rsid w:val="45C115F4"/>
    <w:rsid w:val="467F6331"/>
    <w:rsid w:val="46F474F2"/>
    <w:rsid w:val="47DB4379"/>
    <w:rsid w:val="489268FC"/>
    <w:rsid w:val="49564CEF"/>
    <w:rsid w:val="4CCD5FB7"/>
    <w:rsid w:val="4DBE0710"/>
    <w:rsid w:val="4E053309"/>
    <w:rsid w:val="53596C0B"/>
    <w:rsid w:val="53D17018"/>
    <w:rsid w:val="54A518C5"/>
    <w:rsid w:val="562A3B61"/>
    <w:rsid w:val="575F1A59"/>
    <w:rsid w:val="58E10BDE"/>
    <w:rsid w:val="59B04FCC"/>
    <w:rsid w:val="59E05DAC"/>
    <w:rsid w:val="5A4844B5"/>
    <w:rsid w:val="5A502305"/>
    <w:rsid w:val="5A63129F"/>
    <w:rsid w:val="5ADE57B1"/>
    <w:rsid w:val="5BCF6EC1"/>
    <w:rsid w:val="5E8A4E8C"/>
    <w:rsid w:val="5FD17CD5"/>
    <w:rsid w:val="5FDC79DB"/>
    <w:rsid w:val="60A34672"/>
    <w:rsid w:val="61172F8B"/>
    <w:rsid w:val="685B2491"/>
    <w:rsid w:val="694C5B6A"/>
    <w:rsid w:val="6C932E12"/>
    <w:rsid w:val="6D695A44"/>
    <w:rsid w:val="6E8A7606"/>
    <w:rsid w:val="70C771FC"/>
    <w:rsid w:val="70D22201"/>
    <w:rsid w:val="76AA6A38"/>
    <w:rsid w:val="79363CA6"/>
    <w:rsid w:val="7AA3575A"/>
    <w:rsid w:val="7BB35BD5"/>
    <w:rsid w:val="7C1450DF"/>
    <w:rsid w:val="7C482314"/>
    <w:rsid w:val="7CBD5B0A"/>
    <w:rsid w:val="7D3D24A4"/>
    <w:rsid w:val="7D7E6007"/>
    <w:rsid w:val="7E471297"/>
    <w:rsid w:val="F3F759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2">
    <w:name w:val="heading 1"/>
    <w:basedOn w:val="1"/>
    <w:next w:val="1"/>
    <w:link w:val="20"/>
    <w:autoRedefine/>
    <w:qFormat/>
    <w:uiPriority w:val="0"/>
    <w:pPr>
      <w:keepNext/>
      <w:keepLines/>
      <w:spacing w:before="340" w:after="330" w:line="578" w:lineRule="auto"/>
      <w:outlineLvl w:val="0"/>
    </w:pPr>
    <w:rPr>
      <w:rFonts w:eastAsia="黑体"/>
      <w:b/>
      <w:bCs/>
      <w:kern w:val="44"/>
      <w:sz w:val="32"/>
      <w:szCs w:val="44"/>
    </w:rPr>
  </w:style>
  <w:style w:type="paragraph" w:styleId="3">
    <w:name w:val="heading 2"/>
    <w:basedOn w:val="1"/>
    <w:next w:val="1"/>
    <w:link w:val="21"/>
    <w:autoRedefine/>
    <w:qFormat/>
    <w:uiPriority w:val="9"/>
    <w:pPr>
      <w:keepNext/>
      <w:keepLines/>
      <w:spacing w:before="260" w:after="260" w:line="440" w:lineRule="exact"/>
      <w:outlineLvl w:val="1"/>
    </w:pPr>
    <w:rPr>
      <w:b/>
      <w:bCs/>
      <w:szCs w:val="32"/>
    </w:rPr>
  </w:style>
  <w:style w:type="paragraph" w:styleId="4">
    <w:name w:val="heading 3"/>
    <w:basedOn w:val="1"/>
    <w:next w:val="1"/>
    <w:link w:val="22"/>
    <w:autoRedefine/>
    <w:qFormat/>
    <w:uiPriority w:val="9"/>
    <w:pPr>
      <w:keepNext/>
      <w:keepLines/>
      <w:spacing w:before="260" w:after="260" w:line="360" w:lineRule="exact"/>
      <w:outlineLvl w:val="2"/>
    </w:pPr>
    <w:rPr>
      <w:bCs/>
      <w:szCs w:val="32"/>
    </w:rPr>
  </w:style>
  <w:style w:type="paragraph" w:styleId="5">
    <w:name w:val="heading 4"/>
    <w:basedOn w:val="1"/>
    <w:next w:val="1"/>
    <w:link w:val="23"/>
    <w:autoRedefine/>
    <w:qFormat/>
    <w:uiPriority w:val="9"/>
    <w:pPr>
      <w:keepNext/>
      <w:keepLines/>
      <w:spacing w:before="280" w:after="290" w:line="376" w:lineRule="auto"/>
      <w:outlineLvl w:val="3"/>
    </w:pPr>
    <w:rPr>
      <w:rFonts w:ascii="Cambria" w:hAnsi="Cambria"/>
      <w:b/>
      <w:bCs/>
      <w:szCs w:val="28"/>
    </w:rPr>
  </w:style>
  <w:style w:type="character" w:default="1" w:styleId="16">
    <w:name w:val="Default Paragraph Font"/>
    <w:autoRedefine/>
    <w:semiHidden/>
    <w:unhideWhenUsed/>
    <w:qFormat/>
    <w:uiPriority w:val="1"/>
  </w:style>
  <w:style w:type="table" w:default="1" w:styleId="14">
    <w:name w:val="Normal Table"/>
    <w:autoRedefine/>
    <w:semiHidden/>
    <w:unhideWhenUsed/>
    <w:qFormat/>
    <w:uiPriority w:val="99"/>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toc 3"/>
    <w:basedOn w:val="1"/>
    <w:next w:val="1"/>
    <w:autoRedefine/>
    <w:qFormat/>
    <w:uiPriority w:val="39"/>
    <w:pPr>
      <w:ind w:left="840" w:leftChars="400"/>
    </w:pPr>
  </w:style>
  <w:style w:type="paragraph" w:styleId="8">
    <w:name w:val="Balloon Text"/>
    <w:basedOn w:val="1"/>
    <w:link w:val="19"/>
    <w:autoRedefine/>
    <w:qFormat/>
    <w:uiPriority w:val="0"/>
    <w:rPr>
      <w:sz w:val="18"/>
      <w:szCs w:val="18"/>
    </w:rPr>
  </w:style>
  <w:style w:type="paragraph" w:styleId="9">
    <w:name w:val="footer"/>
    <w:basedOn w:val="1"/>
    <w:link w:val="30"/>
    <w:autoRedefine/>
    <w:unhideWhenUsed/>
    <w:qFormat/>
    <w:uiPriority w:val="99"/>
    <w:pPr>
      <w:tabs>
        <w:tab w:val="center" w:pos="4153"/>
        <w:tab w:val="right" w:pos="8306"/>
      </w:tabs>
      <w:snapToGrid w:val="0"/>
      <w:jc w:val="left"/>
    </w:pPr>
    <w:rPr>
      <w:sz w:val="18"/>
      <w:szCs w:val="18"/>
    </w:rPr>
  </w:style>
  <w:style w:type="paragraph" w:styleId="10">
    <w:name w:val="header"/>
    <w:basedOn w:val="1"/>
    <w:link w:val="3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unhideWhenUsed/>
    <w:qFormat/>
    <w:uiPriority w:val="39"/>
    <w:pPr>
      <w:spacing w:before="120" w:after="120"/>
      <w:jc w:val="left"/>
    </w:pPr>
    <w:rPr>
      <w:b/>
      <w:bCs/>
      <w:caps/>
      <w:szCs w:val="20"/>
    </w:rPr>
  </w:style>
  <w:style w:type="paragraph" w:styleId="12">
    <w:name w:val="table of figures"/>
    <w:basedOn w:val="1"/>
    <w:next w:val="1"/>
    <w:autoRedefine/>
    <w:qFormat/>
    <w:uiPriority w:val="0"/>
    <w:pPr>
      <w:ind w:left="200" w:leftChars="200" w:hanging="200" w:hangingChars="200"/>
    </w:pPr>
  </w:style>
  <w:style w:type="paragraph" w:styleId="13">
    <w:name w:val="toc 2"/>
    <w:basedOn w:val="1"/>
    <w:next w:val="1"/>
    <w:autoRedefine/>
    <w:unhideWhenUsed/>
    <w:qFormat/>
    <w:uiPriority w:val="39"/>
    <w:pPr>
      <w:ind w:left="210"/>
      <w:jc w:val="left"/>
    </w:pPr>
    <w:rPr>
      <w:smallCaps/>
      <w:sz w:val="24"/>
      <w:szCs w:val="20"/>
    </w:rPr>
  </w:style>
  <w:style w:type="table" w:styleId="15">
    <w:name w:val="Table Grid"/>
    <w:basedOn w:val="1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Strong"/>
    <w:basedOn w:val="16"/>
    <w:qFormat/>
    <w:uiPriority w:val="0"/>
    <w:rPr>
      <w:b/>
    </w:rPr>
  </w:style>
  <w:style w:type="character" w:styleId="18">
    <w:name w:val="Hyperlink"/>
    <w:autoRedefine/>
    <w:unhideWhenUsed/>
    <w:qFormat/>
    <w:uiPriority w:val="99"/>
    <w:rPr>
      <w:color w:val="0000FF"/>
      <w:u w:val="single"/>
    </w:rPr>
  </w:style>
  <w:style w:type="character" w:customStyle="1" w:styleId="19">
    <w:name w:val="批注框文本 字符"/>
    <w:basedOn w:val="16"/>
    <w:link w:val="8"/>
    <w:autoRedefine/>
    <w:qFormat/>
    <w:uiPriority w:val="0"/>
    <w:rPr>
      <w:rFonts w:ascii="Calibri" w:hAnsi="Calibri"/>
      <w:kern w:val="2"/>
      <w:sz w:val="18"/>
      <w:szCs w:val="18"/>
    </w:rPr>
  </w:style>
  <w:style w:type="character" w:customStyle="1" w:styleId="20">
    <w:name w:val="标题 1 字符"/>
    <w:basedOn w:val="16"/>
    <w:link w:val="2"/>
    <w:autoRedefine/>
    <w:qFormat/>
    <w:uiPriority w:val="0"/>
    <w:rPr>
      <w:rFonts w:ascii="Calibri" w:hAnsi="Calibri" w:eastAsia="黑体"/>
      <w:b/>
      <w:bCs/>
      <w:kern w:val="44"/>
      <w:sz w:val="32"/>
      <w:szCs w:val="44"/>
    </w:rPr>
  </w:style>
  <w:style w:type="character" w:customStyle="1" w:styleId="21">
    <w:name w:val="标题 2 字符"/>
    <w:basedOn w:val="16"/>
    <w:link w:val="3"/>
    <w:autoRedefine/>
    <w:qFormat/>
    <w:uiPriority w:val="9"/>
    <w:rPr>
      <w:rFonts w:ascii="Times New Roman" w:hAnsi="Times New Roman" w:eastAsia="仿宋_GB2312"/>
      <w:b/>
      <w:bCs/>
      <w:kern w:val="2"/>
      <w:sz w:val="28"/>
      <w:szCs w:val="32"/>
    </w:rPr>
  </w:style>
  <w:style w:type="character" w:customStyle="1" w:styleId="22">
    <w:name w:val="标题 3 字符"/>
    <w:basedOn w:val="16"/>
    <w:link w:val="4"/>
    <w:autoRedefine/>
    <w:qFormat/>
    <w:uiPriority w:val="9"/>
    <w:rPr>
      <w:rFonts w:ascii="Calibri" w:hAnsi="Calibri" w:eastAsia="仿宋_GB2312"/>
      <w:bCs/>
      <w:kern w:val="2"/>
      <w:sz w:val="28"/>
      <w:szCs w:val="32"/>
    </w:rPr>
  </w:style>
  <w:style w:type="character" w:customStyle="1" w:styleId="23">
    <w:name w:val="标题 4 字符"/>
    <w:basedOn w:val="16"/>
    <w:link w:val="5"/>
    <w:autoRedefine/>
    <w:qFormat/>
    <w:uiPriority w:val="9"/>
    <w:rPr>
      <w:rFonts w:ascii="Cambria" w:hAnsi="Cambria"/>
      <w:b/>
      <w:bCs/>
      <w:kern w:val="2"/>
      <w:sz w:val="28"/>
      <w:szCs w:val="28"/>
    </w:rPr>
  </w:style>
  <w:style w:type="paragraph" w:customStyle="1" w:styleId="24">
    <w:name w:val="TOC 标题1"/>
    <w:basedOn w:val="2"/>
    <w:next w:val="1"/>
    <w:autoRedefine/>
    <w:semiHidden/>
    <w:unhideWhenUsed/>
    <w:qFormat/>
    <w:uiPriority w:val="39"/>
    <w:pPr>
      <w:widowControl/>
      <w:spacing w:before="480" w:after="0" w:line="276" w:lineRule="auto"/>
      <w:jc w:val="left"/>
      <w:outlineLvl w:val="9"/>
    </w:pPr>
    <w:rPr>
      <w:rFonts w:asciiTheme="majorHAnsi" w:hAnsiTheme="majorHAnsi" w:eastAsiaTheme="majorEastAsia" w:cstheme="majorBidi"/>
      <w:color w:val="2E75B6" w:themeColor="accent1" w:themeShade="BF"/>
      <w:kern w:val="0"/>
      <w:sz w:val="28"/>
      <w:szCs w:val="28"/>
    </w:rPr>
  </w:style>
  <w:style w:type="paragraph" w:customStyle="1" w:styleId="25">
    <w:name w:val="WPSOffice手动目录 1"/>
    <w:autoRedefine/>
    <w:qFormat/>
    <w:uiPriority w:val="0"/>
    <w:rPr>
      <w:rFonts w:ascii="Times New Roman" w:hAnsi="Times New Roman" w:eastAsia="宋体" w:cs="Times New Roman"/>
      <w:lang w:val="en-US" w:eastAsia="zh-CN" w:bidi="ar-SA"/>
    </w:rPr>
  </w:style>
  <w:style w:type="paragraph" w:customStyle="1" w:styleId="26">
    <w:name w:val="WPSOffice手动目录 2"/>
    <w:autoRedefine/>
    <w:qFormat/>
    <w:uiPriority w:val="0"/>
    <w:pPr>
      <w:ind w:left="200" w:leftChars="200"/>
    </w:pPr>
    <w:rPr>
      <w:rFonts w:ascii="Times New Roman" w:hAnsi="Times New Roman" w:eastAsia="宋体" w:cs="Times New Roman"/>
      <w:lang w:val="en-US" w:eastAsia="zh-CN" w:bidi="ar-SA"/>
    </w:rPr>
  </w:style>
  <w:style w:type="character" w:customStyle="1" w:styleId="27">
    <w:name w:val="style41"/>
    <w:basedOn w:val="16"/>
    <w:autoRedefine/>
    <w:qFormat/>
    <w:uiPriority w:val="0"/>
    <w:rPr>
      <w:sz w:val="18"/>
    </w:rPr>
  </w:style>
  <w:style w:type="paragraph" w:customStyle="1" w:styleId="28">
    <w:name w:val="msolistparagraph"/>
    <w:basedOn w:val="1"/>
    <w:autoRedefine/>
    <w:qFormat/>
    <w:uiPriority w:val="0"/>
    <w:pPr>
      <w:ind w:firstLine="420"/>
    </w:pPr>
    <w:rPr>
      <w:rFonts w:ascii="Calibri" w:hAnsi="Calibri" w:eastAsia="宋体"/>
      <w:sz w:val="21"/>
    </w:rPr>
  </w:style>
  <w:style w:type="paragraph" w:customStyle="1" w:styleId="29">
    <w:name w:val="Table Paragraph"/>
    <w:basedOn w:val="1"/>
    <w:autoRedefine/>
    <w:qFormat/>
    <w:uiPriority w:val="1"/>
    <w:pPr>
      <w:autoSpaceDE w:val="0"/>
      <w:autoSpaceDN w:val="0"/>
      <w:spacing w:line="240" w:lineRule="auto"/>
      <w:ind w:firstLine="0" w:firstLineChars="0"/>
      <w:jc w:val="left"/>
    </w:pPr>
    <w:rPr>
      <w:rFonts w:ascii="宋体" w:hAnsi="宋体" w:eastAsia="宋体" w:cs="宋体"/>
      <w:kern w:val="0"/>
      <w:sz w:val="22"/>
      <w:lang w:val="zh-CN" w:bidi="zh-CN"/>
    </w:rPr>
  </w:style>
  <w:style w:type="character" w:customStyle="1" w:styleId="30">
    <w:name w:val="页脚 字符"/>
    <w:basedOn w:val="16"/>
    <w:link w:val="9"/>
    <w:autoRedefine/>
    <w:qFormat/>
    <w:uiPriority w:val="99"/>
    <w:rPr>
      <w:rFonts w:eastAsia="仿宋_GB2312"/>
      <w:kern w:val="2"/>
      <w:sz w:val="18"/>
      <w:szCs w:val="18"/>
    </w:rPr>
  </w:style>
  <w:style w:type="character" w:customStyle="1" w:styleId="31">
    <w:name w:val="页眉 字符"/>
    <w:basedOn w:val="16"/>
    <w:link w:val="10"/>
    <w:autoRedefine/>
    <w:qFormat/>
    <w:uiPriority w:val="99"/>
    <w:rPr>
      <w:rFonts w:eastAsia="仿宋_GB2312"/>
      <w:kern w:val="2"/>
      <w:sz w:val="18"/>
      <w:szCs w:val="18"/>
    </w:rPr>
  </w:style>
  <w:style w:type="paragraph" w:styleId="32">
    <w:name w:val="List Paragraph"/>
    <w:basedOn w:val="1"/>
    <w:autoRedefine/>
    <w:qFormat/>
    <w:uiPriority w:val="99"/>
    <w:pPr>
      <w:ind w:firstLine="420"/>
    </w:pPr>
  </w:style>
  <w:style w:type="paragraph" w:customStyle="1" w:styleId="33">
    <w:name w:val="其他"/>
    <w:basedOn w:val="1"/>
    <w:autoRedefine/>
    <w:qFormat/>
    <w:uiPriority w:val="0"/>
    <w:pPr>
      <w:spacing w:line="360" w:lineRule="auto"/>
      <w:ind w:firstLine="400"/>
    </w:pPr>
    <w:rPr>
      <w:rFonts w:ascii="宋体" w:hAnsi="宋体" w:eastAsia="宋体" w:cs="宋体"/>
      <w:sz w:val="2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numbering" Target="numbering.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http://schemas.openxmlformats.org/officeDocument/2006/bibliography" xmlns:b="http://schemas.openxmlformats.org/officeDocument/2006/bibliography" SelectedStyle="\APA.XSL" StyleName="APA"/>
</file>

<file path=customXml/itemProps1.xml><?xml version="1.0" encoding="utf-8"?>
<ds:datastoreItem xmlns:ds="http://schemas.openxmlformats.org/officeDocument/2006/customXml" ds:itemID="{D23E636E-9AED-417C-BF79-032C6A13973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14</Pages>
  <Words>5500</Words>
  <Characters>5638</Characters>
  <Lines>15</Lines>
  <Paragraphs>5</Paragraphs>
  <TotalTime>4</TotalTime>
  <ScaleCrop>false</ScaleCrop>
  <LinksUpToDate>false</LinksUpToDate>
  <CharactersWithSpaces>5781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2024-07-04T16:12:00Z</dcterms:created>
  <dc:creator>玄冰石</dc:creator>
  <cp:lastModifiedBy>樂</cp:lastModifiedBy>
  <cp:lastPrinted>2024-07-02T13:20:00Z</cp:lastPrinted>
  <dcterms:modified xsi:type="dcterms:W3CDTF">2025-08-11T09:36:06Z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3C2E2D59E5464C69064C1B68CA856844_43</vt:lpwstr>
  </property>
  <property fmtid="{D5CDD505-2E9C-101B-9397-08002B2CF9AE}" pid="4" name="KSOTemplateDocerSaveRecord">
    <vt:lpwstr>eyJoZGlkIjoiODM4MGUzYWNjMjJmMmMyMDM3MjEzYTY1OWYxYTc1MWUiLCJ1c2VySWQiOiIxMTc4MzE2NDI1In0=</vt:lpwstr>
  </property>
</Properties>
</file>