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211AF9">
      <w:pPr>
        <w:widowControl/>
        <w:spacing w:line="240" w:lineRule="auto"/>
        <w:ind w:firstLine="0" w:firstLineChars="0"/>
        <w:rPr>
          <w:rFonts w:eastAsia="方正流行体简体"/>
          <w:spacing w:val="-10"/>
          <w:sz w:val="60"/>
          <w:szCs w:val="60"/>
        </w:rPr>
      </w:pPr>
      <w:r>
        <w:rPr>
          <w:rFonts w:hint="eastAsia" w:eastAsia="方正流行体简体"/>
          <w:spacing w:val="-10"/>
          <w:sz w:val="60"/>
          <w:szCs w:val="60"/>
        </w:rPr>
        <w:drawing>
          <wp:inline distT="0" distB="0" distL="114300" distR="114300">
            <wp:extent cx="5267325" cy="1393825"/>
            <wp:effectExtent l="0" t="0" r="9525" b="15875"/>
            <wp:docPr id="3" name="图片 3" descr="logo最终_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logo最终_0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9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149746">
      <w:pPr>
        <w:spacing w:line="240" w:lineRule="auto"/>
        <w:ind w:firstLine="0" w:firstLineChars="0"/>
        <w:rPr>
          <w:rFonts w:ascii="隶书" w:eastAsia="隶书"/>
          <w:spacing w:val="-60"/>
          <w:sz w:val="32"/>
          <w:szCs w:val="32"/>
        </w:rPr>
      </w:pPr>
    </w:p>
    <w:p w14:paraId="1AFC49F3">
      <w:pPr>
        <w:spacing w:line="240" w:lineRule="auto"/>
        <w:ind w:firstLine="400"/>
        <w:rPr>
          <w:rFonts w:ascii="隶书" w:eastAsia="隶书"/>
          <w:spacing w:val="-60"/>
          <w:sz w:val="32"/>
          <w:szCs w:val="32"/>
        </w:rPr>
      </w:pPr>
    </w:p>
    <w:p w14:paraId="5BADA9F2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144"/>
          <w:szCs w:val="144"/>
        </w:rPr>
      </w:pPr>
      <w:r>
        <w:rPr>
          <w:rFonts w:hint="eastAsia" w:ascii="黑体" w:hAnsi="楷体" w:eastAsia="黑体"/>
          <w:b/>
          <w:sz w:val="144"/>
          <w:szCs w:val="144"/>
        </w:rPr>
        <w:t>“</w:t>
      </w:r>
      <w:r>
        <w:rPr>
          <w:rFonts w:hint="eastAsia" w:ascii="黑体" w:hAnsi="楷体" w:eastAsia="黑体"/>
          <w:b/>
          <w:sz w:val="56"/>
          <w:szCs w:val="56"/>
        </w:rPr>
        <w:t>大数据技术应用基础</w:t>
      </w:r>
      <w:r>
        <w:rPr>
          <w:rFonts w:hint="eastAsia" w:ascii="黑体" w:hAnsi="楷体" w:eastAsia="黑体"/>
          <w:b/>
          <w:sz w:val="144"/>
          <w:szCs w:val="144"/>
        </w:rPr>
        <w:t xml:space="preserve"> ”</w:t>
      </w:r>
    </w:p>
    <w:p w14:paraId="305D8B5F">
      <w:pPr>
        <w:spacing w:line="240" w:lineRule="auto"/>
        <w:ind w:firstLine="0" w:firstLineChars="0"/>
        <w:jc w:val="center"/>
        <w:rPr>
          <w:rFonts w:ascii="黑体" w:hAnsi="楷体" w:eastAsia="黑体"/>
          <w:b/>
          <w:sz w:val="72"/>
          <w:szCs w:val="72"/>
        </w:rPr>
      </w:pPr>
    </w:p>
    <w:p w14:paraId="0FB888EA">
      <w:pPr>
        <w:spacing w:line="240" w:lineRule="auto"/>
        <w:ind w:firstLine="0" w:firstLineChars="0"/>
        <w:jc w:val="center"/>
      </w:pPr>
      <w:r>
        <w:rPr>
          <w:rFonts w:hint="eastAsia" w:ascii="黑体" w:hAnsi="楷体" w:eastAsia="黑体"/>
          <w:b/>
          <w:sz w:val="72"/>
          <w:szCs w:val="72"/>
        </w:rPr>
        <w:t>课程标准</w:t>
      </w:r>
    </w:p>
    <w:p w14:paraId="356944D6">
      <w:pPr>
        <w:ind w:firstLine="560"/>
      </w:pPr>
    </w:p>
    <w:p w14:paraId="228298B1">
      <w:pPr>
        <w:ind w:firstLine="0" w:firstLineChars="0"/>
      </w:pPr>
    </w:p>
    <w:tbl>
      <w:tblPr>
        <w:tblStyle w:val="13"/>
        <w:tblpPr w:leftFromText="180" w:rightFromText="180" w:vertAnchor="text" w:horzAnchor="page" w:tblpX="1592" w:tblpY="282"/>
        <w:tblOverlap w:val="never"/>
        <w:tblW w:w="8516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860"/>
        <w:gridCol w:w="2208"/>
        <w:gridCol w:w="1801"/>
        <w:gridCol w:w="2647"/>
      </w:tblGrid>
      <w:tr w14:paraId="2BC41A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42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072874B4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课程负责人</w:t>
            </w:r>
          </w:p>
          <w:p w14:paraId="3611CBE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63C8EEDB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80246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教研组组长</w:t>
            </w:r>
          </w:p>
          <w:p w14:paraId="0501128F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5319F97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  <w:tr w14:paraId="70C708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21" w:hRule="atLeast"/>
        </w:trPr>
        <w:tc>
          <w:tcPr>
            <w:tcW w:w="1860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1D4143B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教学单位</w:t>
            </w:r>
          </w:p>
          <w:p w14:paraId="6BD03CB1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负责人审核</w:t>
            </w:r>
          </w:p>
        </w:tc>
        <w:tc>
          <w:tcPr>
            <w:tcW w:w="2208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2EB53163">
            <w:pPr>
              <w:widowControl/>
              <w:adjustRightInd w:val="0"/>
              <w:snapToGrid w:val="0"/>
              <w:ind w:firstLine="720" w:firstLineChars="3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  <w:tc>
          <w:tcPr>
            <w:tcW w:w="1801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783469C5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教学管理部</w:t>
            </w:r>
          </w:p>
          <w:p w14:paraId="0DCA9D5C">
            <w:pPr>
              <w:widowControl/>
              <w:adjustRightInd w:val="0"/>
              <w:snapToGrid w:val="0"/>
              <w:ind w:firstLine="0" w:firstLineChars="0"/>
              <w:jc w:val="center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负责人审核</w:t>
            </w:r>
          </w:p>
        </w:tc>
        <w:tc>
          <w:tcPr>
            <w:tcW w:w="2647" w:type="dxa"/>
            <w:tcBorders>
              <w:tl2br w:val="nil"/>
              <w:tr2bl w:val="nil"/>
            </w:tcBorders>
            <w:tcMar>
              <w:top w:w="28" w:type="dxa"/>
              <w:bottom w:w="28" w:type="dxa"/>
            </w:tcMar>
            <w:vAlign w:val="center"/>
          </w:tcPr>
          <w:p w14:paraId="31039064">
            <w:pPr>
              <w:widowControl/>
              <w:adjustRightInd w:val="0"/>
              <w:snapToGrid w:val="0"/>
              <w:ind w:firstLine="960" w:firstLineChars="400"/>
              <w:textAlignment w:val="center"/>
              <w:rPr>
                <w:rFonts w:eastAsia="宋体"/>
                <w:sz w:val="24"/>
                <w:szCs w:val="24"/>
              </w:rPr>
            </w:pPr>
            <w:r>
              <w:rPr>
                <w:rFonts w:hint="eastAsia" w:eastAsia="宋体"/>
                <w:sz w:val="24"/>
                <w:szCs w:val="24"/>
              </w:rPr>
              <w:t xml:space="preserve"> </w:t>
            </w:r>
          </w:p>
        </w:tc>
      </w:tr>
    </w:tbl>
    <w:p w14:paraId="1E8F6528">
      <w:pPr>
        <w:ind w:firstLine="0" w:firstLineChars="0"/>
      </w:pPr>
    </w:p>
    <w:p w14:paraId="7E28658D">
      <w:pPr>
        <w:snapToGrid w:val="0"/>
        <w:spacing w:line="360" w:lineRule="auto"/>
        <w:ind w:firstLine="720"/>
        <w:jc w:val="center"/>
        <w:rPr>
          <w:rFonts w:ascii="宋体" w:hAnsi="宋体" w:cs="宋体"/>
          <w:b/>
          <w:bCs/>
          <w:kern w:val="36"/>
          <w:sz w:val="36"/>
          <w:szCs w:val="36"/>
        </w:rPr>
      </w:pPr>
    </w:p>
    <w:p w14:paraId="6ECCD100">
      <w:pPr>
        <w:snapToGrid w:val="0"/>
        <w:spacing w:line="360" w:lineRule="auto"/>
        <w:ind w:firstLine="720"/>
        <w:jc w:val="center"/>
        <w:rPr>
          <w:b/>
          <w:bCs/>
          <w:kern w:val="36"/>
          <w:sz w:val="36"/>
          <w:szCs w:val="36"/>
        </w:rPr>
        <w:sectPr>
          <w:headerReference r:id="rId7" w:type="first"/>
          <w:footerReference r:id="rId10" w:type="first"/>
          <w:headerReference r:id="rId5" w:type="default"/>
          <w:footerReference r:id="rId8" w:type="default"/>
          <w:headerReference r:id="rId6" w:type="even"/>
          <w:footerReference r:id="rId9" w:type="even"/>
          <w:pgSz w:w="11906" w:h="16838"/>
          <w:pgMar w:top="1440" w:right="1800" w:bottom="1440" w:left="1800" w:header="851" w:footer="992" w:gutter="0"/>
          <w:pgNumType w:start="1"/>
          <w:cols w:space="425" w:num="1"/>
          <w:docGrid w:type="lines" w:linePitch="312" w:charSpace="0"/>
        </w:sectPr>
      </w:pPr>
      <w:r>
        <w:rPr>
          <w:kern w:val="36"/>
          <w:sz w:val="36"/>
          <w:szCs w:val="36"/>
        </w:rPr>
        <w:t>202</w:t>
      </w:r>
      <w:r>
        <w:rPr>
          <w:rFonts w:hint="eastAsia"/>
          <w:kern w:val="36"/>
          <w:sz w:val="36"/>
          <w:szCs w:val="36"/>
          <w:lang w:val="en-US" w:eastAsia="zh-CN"/>
        </w:rPr>
        <w:t>5</w:t>
      </w:r>
      <w:r>
        <w:rPr>
          <w:b/>
          <w:bCs/>
          <w:kern w:val="36"/>
          <w:sz w:val="36"/>
          <w:szCs w:val="36"/>
        </w:rPr>
        <w:t>年</w:t>
      </w:r>
      <w:r>
        <w:rPr>
          <w:rFonts w:hint="eastAsia"/>
          <w:b/>
          <w:bCs/>
          <w:kern w:val="36"/>
          <w:sz w:val="36"/>
          <w:szCs w:val="36"/>
          <w:lang w:val="en-US" w:eastAsia="zh-CN"/>
        </w:rPr>
        <w:t>4</w:t>
      </w:r>
      <w:r>
        <w:rPr>
          <w:b/>
          <w:bCs/>
          <w:kern w:val="36"/>
          <w:sz w:val="36"/>
          <w:szCs w:val="36"/>
        </w:rPr>
        <w:t>月</w:t>
      </w:r>
    </w:p>
    <w:p w14:paraId="427AD3BA">
      <w:pPr>
        <w:snapToGrid w:val="0"/>
        <w:spacing w:line="360" w:lineRule="auto"/>
        <w:ind w:firstLine="0" w:firstLineChars="0"/>
        <w:rPr>
          <w:b/>
          <w:bCs/>
          <w:kern w:val="36"/>
          <w:sz w:val="36"/>
          <w:szCs w:val="36"/>
        </w:rPr>
      </w:pPr>
    </w:p>
    <w:sdt>
      <w:sdtPr>
        <w:rPr>
          <w:rFonts w:ascii="宋体" w:hAnsi="宋体" w:eastAsia="宋体"/>
          <w:sz w:val="21"/>
        </w:rPr>
        <w:id w:val="147451310"/>
        <w15:color w:val="DBDBDB"/>
        <w:docPartObj>
          <w:docPartGallery w:val="Table of Contents"/>
          <w:docPartUnique/>
        </w:docPartObj>
      </w:sdtPr>
      <w:sdtEndPr>
        <w:rPr>
          <w:rFonts w:hint="eastAsia" w:ascii="宋体" w:hAnsi="宋体" w:eastAsia="宋体" w:cs="宋体"/>
          <w:bCs/>
          <w:kern w:val="36"/>
          <w:sz w:val="21"/>
          <w:szCs w:val="36"/>
        </w:rPr>
      </w:sdtEndPr>
      <w:sdtContent>
        <w:p w14:paraId="7D19619B">
          <w:pPr>
            <w:spacing w:line="240" w:lineRule="auto"/>
            <w:ind w:firstLine="0" w:firstLineChars="0"/>
            <w:jc w:val="center"/>
            <w:rPr>
              <w:rFonts w:ascii="宋体" w:hAnsi="宋体" w:eastAsia="宋体"/>
              <w:sz w:val="21"/>
            </w:rPr>
          </w:pPr>
        </w:p>
        <w:p w14:paraId="51C26BBF">
          <w:pPr>
            <w:spacing w:line="240" w:lineRule="auto"/>
            <w:ind w:firstLine="0" w:firstLineChars="0"/>
            <w:jc w:val="center"/>
            <w:rPr>
              <w:rFonts w:ascii="黑体" w:hAnsi="黑体" w:eastAsia="黑体" w:cs="黑体"/>
              <w:sz w:val="32"/>
              <w:szCs w:val="32"/>
            </w:rPr>
          </w:pPr>
          <w:r>
            <w:rPr>
              <w:rFonts w:hint="eastAsia" w:ascii="黑体" w:hAnsi="黑体" w:eastAsia="黑体" w:cs="黑体"/>
              <w:sz w:val="32"/>
              <w:szCs w:val="32"/>
            </w:rPr>
            <w:t>目  录</w:t>
          </w:r>
        </w:p>
        <w:p w14:paraId="2AAC6291">
          <w:pPr>
            <w:pStyle w:val="10"/>
            <w:tabs>
              <w:tab w:val="right" w:leader="middleDot" w:pos="8306"/>
            </w:tabs>
            <w:spacing w:line="520" w:lineRule="exact"/>
            <w:ind w:firstLine="561" w:firstLineChars="266"/>
          </w:pP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begin"/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instrText xml:space="preserve">TOC \o "1-3" \h \u </w:instrText>
          </w:r>
          <w:r>
            <w:rPr>
              <w:rFonts w:hint="eastAsia" w:ascii="宋体" w:hAnsi="宋体" w:eastAsia="宋体" w:cs="宋体"/>
              <w:kern w:val="36"/>
              <w:sz w:val="21"/>
              <w:szCs w:val="36"/>
            </w:rPr>
            <w:fldChar w:fldCharType="separate"/>
          </w:r>
          <w:r>
            <w:fldChar w:fldCharType="begin"/>
          </w:r>
          <w:r>
            <w:instrText xml:space="preserve"> HYPERLINK \l "_Toc2179" </w:instrText>
          </w:r>
          <w:r>
            <w:fldChar w:fldCharType="separate"/>
          </w:r>
          <w:r>
            <w:rPr>
              <w:rFonts w:hint="eastAsia"/>
            </w:rPr>
            <w:t>一、课程基本信息</w:t>
          </w:r>
          <w:r>
            <w:tab/>
          </w:r>
          <w:r>
            <w:fldChar w:fldCharType="begin"/>
          </w:r>
          <w:r>
            <w:instrText xml:space="preserve"> PAGEREF _Toc2179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324E28E5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"_Toc4255" </w:instrText>
          </w:r>
          <w:r>
            <w:fldChar w:fldCharType="separate"/>
          </w:r>
          <w:r>
            <w:rPr>
              <w:rFonts w:hint="eastAsia"/>
            </w:rPr>
            <w:t>二、课程任务</w:t>
          </w:r>
          <w:r>
            <w:tab/>
          </w:r>
          <w:r>
            <w:fldChar w:fldCharType="begin"/>
          </w:r>
          <w:r>
            <w:instrText xml:space="preserve"> PAGEREF _Toc4255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7B83B952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"_Toc1651" </w:instrText>
          </w:r>
          <w:r>
            <w:fldChar w:fldCharType="separate"/>
          </w:r>
          <w:r>
            <w:rPr>
              <w:rFonts w:hint="eastAsia"/>
            </w:rPr>
            <w:t>三、课程目标</w:t>
          </w:r>
          <w:r>
            <w:tab/>
          </w:r>
          <w:r>
            <w:fldChar w:fldCharType="begin"/>
          </w:r>
          <w:r>
            <w:instrText xml:space="preserve"> PAGEREF _Toc1651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076980B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"_Toc1453" </w:instrText>
          </w:r>
          <w:r>
            <w:fldChar w:fldCharType="separate"/>
          </w:r>
          <w:r>
            <w:rPr>
              <w:rFonts w:hint="eastAsia"/>
            </w:rPr>
            <w:t>（一） 素质目标</w:t>
          </w:r>
          <w:r>
            <w:tab/>
          </w:r>
          <w:r>
            <w:fldChar w:fldCharType="begin"/>
          </w:r>
          <w:r>
            <w:instrText xml:space="preserve"> PAGEREF _Toc1453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757BC4F8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"_Toc1104" </w:instrText>
          </w:r>
          <w:r>
            <w:fldChar w:fldCharType="separate"/>
          </w:r>
          <w:r>
            <w:rPr>
              <w:rFonts w:hint="eastAsia"/>
            </w:rPr>
            <w:t>（二） 知识目标</w:t>
          </w:r>
          <w:r>
            <w:tab/>
          </w:r>
          <w:r>
            <w:fldChar w:fldCharType="begin"/>
          </w:r>
          <w:r>
            <w:instrText xml:space="preserve"> PAGEREF _Toc1104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28404BCA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"_Toc30755" </w:instrText>
          </w:r>
          <w:r>
            <w:fldChar w:fldCharType="separate"/>
          </w:r>
          <w:r>
            <w:rPr>
              <w:rFonts w:hint="eastAsia"/>
            </w:rPr>
            <w:t>（三） 能力目标</w:t>
          </w:r>
          <w:r>
            <w:tab/>
          </w:r>
          <w:r>
            <w:fldChar w:fldCharType="begin"/>
          </w:r>
          <w:r>
            <w:instrText xml:space="preserve"> PAGEREF _Toc30755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 w14:paraId="45A85B3A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"_Toc24423" </w:instrText>
          </w:r>
          <w:r>
            <w:fldChar w:fldCharType="separate"/>
          </w:r>
          <w:r>
            <w:rPr>
              <w:rFonts w:hint="eastAsia"/>
            </w:rPr>
            <w:t>四、课程职业能力分析</w:t>
          </w:r>
          <w:r>
            <w:tab/>
          </w:r>
          <w:r>
            <w:fldChar w:fldCharType="begin"/>
          </w:r>
          <w:r>
            <w:instrText xml:space="preserve"> PAGEREF _Toc24423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 w14:paraId="66C0878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"_Toc27541" </w:instrText>
          </w:r>
          <w:r>
            <w:fldChar w:fldCharType="separate"/>
          </w:r>
          <w:r>
            <w:rPr>
              <w:rFonts w:hint="eastAsia"/>
            </w:rPr>
            <w:t>五、课程设计思路</w:t>
          </w:r>
          <w:r>
            <w:tab/>
          </w:r>
          <w:r>
            <w:fldChar w:fldCharType="begin"/>
          </w:r>
          <w:r>
            <w:instrText xml:space="preserve"> PAGEREF _Toc27541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 w14:paraId="031D1101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"_Toc8844" </w:instrText>
          </w:r>
          <w:r>
            <w:fldChar w:fldCharType="separate"/>
          </w:r>
          <w:r>
            <w:rPr>
              <w:rFonts w:hint="eastAsia"/>
            </w:rPr>
            <w:t>六、课程结构与内容</w:t>
          </w:r>
          <w:r>
            <w:tab/>
          </w:r>
          <w:r>
            <w:fldChar w:fldCharType="begin"/>
          </w:r>
          <w:r>
            <w:instrText xml:space="preserve"> PAGEREF _Toc8844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 w14:paraId="0D22129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"_Toc18126" </w:instrText>
          </w:r>
          <w:r>
            <w:fldChar w:fldCharType="separate"/>
          </w:r>
          <w:r>
            <w:rPr>
              <w:rFonts w:hint="eastAsia"/>
            </w:rPr>
            <w:t>七、学习评价</w:t>
          </w:r>
          <w:r>
            <w:tab/>
          </w:r>
          <w:r>
            <w:fldChar w:fldCharType="begin"/>
          </w:r>
          <w:r>
            <w:instrText xml:space="preserve"> PAGEREF _Toc18126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 w14:paraId="6F308379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"_Toc11140" </w:instrText>
          </w:r>
          <w:r>
            <w:fldChar w:fldCharType="separate"/>
          </w:r>
          <w:r>
            <w:rPr>
              <w:rFonts w:hint="eastAsia"/>
            </w:rPr>
            <w:t>八、教学资源</w:t>
          </w:r>
          <w:r>
            <w:tab/>
          </w:r>
          <w:r>
            <w:fldChar w:fldCharType="begin"/>
          </w:r>
          <w:r>
            <w:instrText xml:space="preserve"> PAGEREF _Toc11140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330AE83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"_Toc16925" </w:instrText>
          </w:r>
          <w:r>
            <w:fldChar w:fldCharType="separate"/>
          </w:r>
          <w:r>
            <w:rPr>
              <w:rFonts w:hint="eastAsia"/>
            </w:rPr>
            <w:t>（一）主要参考教材</w:t>
          </w:r>
          <w:r>
            <w:tab/>
          </w:r>
          <w:r>
            <w:fldChar w:fldCharType="begin"/>
          </w:r>
          <w:r>
            <w:instrText xml:space="preserve"> PAGEREF _Toc16925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6DA3A1FE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"_Toc17555" </w:instrText>
          </w:r>
          <w:r>
            <w:fldChar w:fldCharType="separate"/>
          </w:r>
          <w:r>
            <w:rPr>
              <w:rFonts w:hint="eastAsia"/>
            </w:rPr>
            <w:t>（二）其他参考资料</w:t>
          </w:r>
          <w:r>
            <w:tab/>
          </w:r>
          <w:r>
            <w:fldChar w:fldCharType="begin"/>
          </w:r>
          <w:r>
            <w:instrText xml:space="preserve"> PAGEREF _Toc17555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 w14:paraId="398A7546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"_Toc27934" </w:instrText>
          </w:r>
          <w:r>
            <w:fldChar w:fldCharType="separate"/>
          </w:r>
          <w:r>
            <w:rPr>
              <w:rFonts w:hint="eastAsia"/>
            </w:rPr>
            <w:t>（三）实训条件</w:t>
          </w:r>
          <w:r>
            <w:tab/>
          </w:r>
          <w:r>
            <w:fldChar w:fldCharType="begin"/>
          </w:r>
          <w:r>
            <w:instrText xml:space="preserve"> PAGEREF _Toc27934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0FC1DCC5">
          <w:pPr>
            <w:pStyle w:val="12"/>
            <w:tabs>
              <w:tab w:val="right" w:leader="middleDot" w:pos="8306"/>
            </w:tabs>
            <w:spacing w:line="520" w:lineRule="exact"/>
            <w:ind w:firstLine="480"/>
          </w:pPr>
          <w:r>
            <w:fldChar w:fldCharType="begin"/>
          </w:r>
          <w:r>
            <w:instrText xml:space="preserve"> HYPERLINK \l "_Toc7079" </w:instrText>
          </w:r>
          <w:r>
            <w:fldChar w:fldCharType="separate"/>
          </w:r>
          <w:r>
            <w:rPr>
              <w:rFonts w:hint="eastAsia"/>
            </w:rPr>
            <w:t>（四）信息化教学资源</w:t>
          </w:r>
          <w:r>
            <w:tab/>
          </w:r>
          <w:r>
            <w:fldChar w:fldCharType="begin"/>
          </w:r>
          <w:r>
            <w:instrText xml:space="preserve"> PAGEREF _Toc7079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1B3F18FB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"_Toc12227" </w:instrText>
          </w:r>
          <w:r>
            <w:fldChar w:fldCharType="separate"/>
          </w:r>
          <w:r>
            <w:rPr>
              <w:rFonts w:hint="eastAsia"/>
            </w:rPr>
            <w:t>九、师资要求</w:t>
          </w:r>
          <w:r>
            <w:tab/>
          </w:r>
          <w:r>
            <w:fldChar w:fldCharType="begin"/>
          </w:r>
          <w:r>
            <w:instrText xml:space="preserve"> PAGEREF _Toc12227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EAE1D7D">
          <w:pPr>
            <w:pStyle w:val="10"/>
            <w:tabs>
              <w:tab w:val="right" w:leader="middleDot" w:pos="8306"/>
            </w:tabs>
            <w:spacing w:line="520" w:lineRule="exact"/>
            <w:ind w:firstLine="560"/>
          </w:pPr>
          <w:r>
            <w:fldChar w:fldCharType="begin"/>
          </w:r>
          <w:r>
            <w:instrText xml:space="preserve"> HYPERLINK \l "_Toc3001" </w:instrText>
          </w:r>
          <w:r>
            <w:fldChar w:fldCharType="separate"/>
          </w:r>
          <w:r>
            <w:rPr>
              <w:rFonts w:hint="eastAsia"/>
            </w:rPr>
            <w:t>十、其它说明</w:t>
          </w:r>
          <w:r>
            <w:tab/>
          </w:r>
          <w:r>
            <w:fldChar w:fldCharType="begin"/>
          </w:r>
          <w:r>
            <w:instrText xml:space="preserve"> PAGEREF _Toc3001 </w:instrText>
          </w:r>
          <w:r>
            <w:fldChar w:fldCharType="separate"/>
          </w:r>
          <w:r>
            <w:t>10</w:t>
          </w:r>
          <w:r>
            <w:fldChar w:fldCharType="end"/>
          </w:r>
          <w:r>
            <w:fldChar w:fldCharType="end"/>
          </w:r>
        </w:p>
        <w:p w14:paraId="58AE291D">
          <w:pPr>
            <w:snapToGrid w:val="0"/>
            <w:spacing w:line="520" w:lineRule="exact"/>
            <w:ind w:firstLine="560"/>
            <w:rPr>
              <w:rFonts w:ascii="宋体" w:hAnsi="宋体" w:eastAsia="宋体" w:cs="宋体"/>
              <w:bCs/>
              <w:kern w:val="36"/>
              <w:sz w:val="21"/>
              <w:szCs w:val="36"/>
            </w:rPr>
          </w:pPr>
          <w:r>
            <w:rPr>
              <w:rFonts w:hint="eastAsia" w:ascii="宋体" w:hAnsi="宋体" w:eastAsia="宋体" w:cs="宋体"/>
              <w:bCs/>
              <w:kern w:val="36"/>
              <w:szCs w:val="36"/>
            </w:rPr>
            <w:fldChar w:fldCharType="end"/>
          </w:r>
        </w:p>
        <w:p w14:paraId="2C6C1C2C">
          <w:pPr>
            <w:snapToGrid w:val="0"/>
            <w:spacing w:line="360" w:lineRule="auto"/>
            <w:ind w:firstLine="420"/>
            <w:rPr>
              <w:rFonts w:ascii="宋体" w:hAnsi="宋体" w:cs="宋体"/>
              <w:b/>
              <w:bCs/>
              <w:kern w:val="36"/>
              <w:sz w:val="36"/>
              <w:szCs w:val="36"/>
            </w:rPr>
            <w:sectPr>
              <w:footerReference r:id="rId11" w:type="default"/>
              <w:pgSz w:w="11906" w:h="16838"/>
              <w:pgMar w:top="1440" w:right="1800" w:bottom="1440" w:left="1800" w:header="851" w:footer="992" w:gutter="0"/>
              <w:pgNumType w:start="1"/>
              <w:cols w:space="425" w:num="1"/>
              <w:docGrid w:type="lines" w:linePitch="312" w:charSpace="0"/>
            </w:sectPr>
          </w:pPr>
        </w:p>
      </w:sdtContent>
    </w:sdt>
    <w:p w14:paraId="4A818745">
      <w:pPr>
        <w:pStyle w:val="3"/>
        <w:ind w:firstLine="653"/>
      </w:pPr>
      <w:bookmarkStart w:id="0" w:name="_Toc502337258"/>
      <w:bookmarkStart w:id="1" w:name="_Toc2179"/>
      <w:bookmarkStart w:id="2" w:name="_Toc10917"/>
      <w:bookmarkStart w:id="3" w:name="_Toc16819"/>
      <w:bookmarkStart w:id="4" w:name="_Toc2469"/>
      <w:bookmarkStart w:id="5" w:name="_Toc8847"/>
      <w:r>
        <w:rPr>
          <w:rFonts w:hint="eastAsia"/>
        </w:rPr>
        <w:t>一、课程</w:t>
      </w:r>
      <w:bookmarkEnd w:id="0"/>
      <w:r>
        <w:rPr>
          <w:rFonts w:hint="eastAsia"/>
        </w:rPr>
        <w:t>基本信息</w:t>
      </w:r>
      <w:bookmarkEnd w:id="1"/>
      <w:bookmarkEnd w:id="2"/>
    </w:p>
    <w:p w14:paraId="662F4040">
      <w:pPr>
        <w:ind w:firstLine="0" w:firstLineChars="0"/>
        <w:jc w:val="center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表1. 课程基本信息表</w:t>
      </w:r>
    </w:p>
    <w:tbl>
      <w:tblPr>
        <w:tblStyle w:val="1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1"/>
        <w:gridCol w:w="2450"/>
        <w:gridCol w:w="1615"/>
        <w:gridCol w:w="2506"/>
      </w:tblGrid>
      <w:tr w14:paraId="2DEFF3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C0BD7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课程名称</w:t>
            </w:r>
          </w:p>
        </w:tc>
        <w:tc>
          <w:tcPr>
            <w:tcW w:w="24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30DBB1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大数据技术应用基础</w:t>
            </w:r>
          </w:p>
        </w:tc>
        <w:tc>
          <w:tcPr>
            <w:tcW w:w="1615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68D2E4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课程代码</w:t>
            </w:r>
          </w:p>
        </w:tc>
        <w:tc>
          <w:tcPr>
            <w:tcW w:w="250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6F5A82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JG022504</w:t>
            </w:r>
          </w:p>
        </w:tc>
      </w:tr>
      <w:tr w14:paraId="67451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7EADC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课程类别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D9DCFA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rFonts w:hint="eastAsia"/>
                <w:sz w:val="24"/>
                <w:szCs w:val="21"/>
              </w:rPr>
              <w:t xml:space="preserve">□公共课  </w:t>
            </w: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专业课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FF419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课程性质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84A89B">
            <w:pPr>
              <w:ind w:firstLine="0" w:firstLineChars="0"/>
              <w:jc w:val="left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</w:instrText>
            </w:r>
            <w:r>
              <w:rPr>
                <w:rFonts w:hint="eastAsia"/>
                <w:sz w:val="24"/>
                <w:szCs w:val="21"/>
                <w:lang w:eastAsia="zh-CN"/>
              </w:rPr>
              <w:instrText xml:space="preserve">,</w:instrText>
            </w:r>
            <w:r>
              <w:rPr>
                <w:rFonts w:hint="eastAsia"/>
                <w:position w:val="2"/>
                <w:sz w:val="16"/>
                <w:szCs w:val="21"/>
                <w:lang w:eastAsia="zh-CN"/>
              </w:rPr>
              <w:instrText xml:space="preserve">√</w:instrText>
            </w:r>
            <w:r>
              <w:rPr>
                <w:rFonts w:hint="eastAsia"/>
                <w:sz w:val="24"/>
                <w:szCs w:val="21"/>
              </w:rPr>
              <w:instrText xml:space="preserve">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>必修□限选□任选</w:t>
            </w:r>
          </w:p>
        </w:tc>
      </w:tr>
      <w:tr w14:paraId="619DE6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E6A0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时</w:t>
            </w:r>
          </w:p>
        </w:tc>
        <w:tc>
          <w:tcPr>
            <w:tcW w:w="24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C7141E">
            <w:pPr>
              <w:ind w:firstLine="0" w:firstLineChars="0"/>
              <w:jc w:val="center"/>
              <w:rPr>
                <w:rFonts w:hint="default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32</w:t>
            </w:r>
          </w:p>
        </w:tc>
        <w:tc>
          <w:tcPr>
            <w:tcW w:w="16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5BA0DB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学   分</w:t>
            </w:r>
          </w:p>
        </w:tc>
        <w:tc>
          <w:tcPr>
            <w:tcW w:w="25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36E937">
            <w:pPr>
              <w:ind w:firstLine="0" w:firstLineChars="0"/>
              <w:jc w:val="center"/>
              <w:rPr>
                <w:rFonts w:hint="eastAsia" w:eastAsia="仿宋_GB2312"/>
                <w:sz w:val="24"/>
                <w:szCs w:val="21"/>
                <w:lang w:val="en-US" w:eastAsia="zh-CN"/>
              </w:rPr>
            </w:pPr>
            <w:r>
              <w:rPr>
                <w:rFonts w:hint="eastAsia"/>
                <w:sz w:val="24"/>
                <w:szCs w:val="21"/>
                <w:lang w:val="en-US" w:eastAsia="zh-CN"/>
              </w:rPr>
              <w:t>2</w:t>
            </w:r>
          </w:p>
        </w:tc>
      </w:tr>
      <w:tr w14:paraId="12B53B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972E73">
            <w:pPr>
              <w:ind w:firstLine="0" w:firstLineChars="0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是否专业核心课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DD954C">
            <w:pPr>
              <w:ind w:firstLine="0" w:firstLineChars="0"/>
              <w:jc w:val="center"/>
              <w:rPr>
                <w:sz w:val="24"/>
                <w:szCs w:val="21"/>
              </w:rPr>
            </w:pPr>
            <w:r>
              <w:rPr>
                <w:sz w:val="24"/>
                <w:szCs w:val="21"/>
              </w:rPr>
              <w:fldChar w:fldCharType="begin"/>
            </w:r>
            <w:r>
              <w:rPr>
                <w:sz w:val="24"/>
                <w:szCs w:val="21"/>
              </w:rPr>
              <w:instrText xml:space="preserve"> </w:instrText>
            </w:r>
            <w:r>
              <w:rPr>
                <w:rFonts w:hint="eastAsia"/>
                <w:sz w:val="24"/>
                <w:szCs w:val="21"/>
              </w:rPr>
              <w:instrText xml:space="preserve">eq \o\ac(□)</w:instrText>
            </w:r>
            <w:r>
              <w:rPr>
                <w:sz w:val="24"/>
                <w:szCs w:val="21"/>
              </w:rPr>
              <w:fldChar w:fldCharType="end"/>
            </w:r>
            <w:r>
              <w:rPr>
                <w:rFonts w:hint="eastAsia"/>
                <w:sz w:val="24"/>
                <w:szCs w:val="21"/>
              </w:rPr>
              <w:t xml:space="preserve">是             </w:t>
            </w:r>
            <w:r>
              <w:rPr>
                <w:rFonts w:hint="eastAsia"/>
                <w:sz w:val="24"/>
                <w:szCs w:val="21"/>
                <w:lang w:eastAsia="zh-CN"/>
              </w:rPr>
              <w:t>☑</w:t>
            </w:r>
            <w:r>
              <w:rPr>
                <w:rFonts w:hint="eastAsia"/>
                <w:sz w:val="24"/>
                <w:szCs w:val="21"/>
              </w:rPr>
              <w:t>否</w:t>
            </w:r>
          </w:p>
        </w:tc>
      </w:tr>
      <w:tr w14:paraId="4DCAAC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C53AB3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授课专业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269BED5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  <w:tr w14:paraId="1D8A30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95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458A2A">
            <w:pPr>
              <w:ind w:firstLine="0" w:firstLineChars="0"/>
              <w:jc w:val="center"/>
              <w:rPr>
                <w:rFonts w:ascii="仿宋_GB2312" w:hAnsi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bCs/>
                <w:sz w:val="24"/>
                <w:szCs w:val="24"/>
              </w:rPr>
              <w:t>前置课程</w:t>
            </w:r>
          </w:p>
        </w:tc>
        <w:tc>
          <w:tcPr>
            <w:tcW w:w="657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DD272C8">
            <w:pPr>
              <w:ind w:firstLine="0" w:firstLineChars="0"/>
              <w:jc w:val="center"/>
              <w:rPr>
                <w:sz w:val="24"/>
                <w:szCs w:val="21"/>
              </w:rPr>
            </w:pPr>
          </w:p>
        </w:tc>
      </w:tr>
    </w:tbl>
    <w:p w14:paraId="596DFAC2">
      <w:pPr>
        <w:pStyle w:val="3"/>
        <w:pageBreakBefore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240" w:lineRule="auto"/>
        <w:ind w:firstLine="653"/>
        <w:textAlignment w:val="auto"/>
      </w:pPr>
      <w:bookmarkStart w:id="6" w:name="_Toc4255"/>
      <w:bookmarkStart w:id="7" w:name="_Toc30964"/>
      <w:bookmarkStart w:id="8" w:name="_Toc502337262"/>
      <w:r>
        <w:rPr>
          <w:rFonts w:hint="eastAsia"/>
        </w:rPr>
        <w:t>课程任务</w:t>
      </w:r>
      <w:bookmarkEnd w:id="6"/>
      <w:bookmarkStart w:id="48" w:name="_GoBack"/>
      <w:bookmarkEnd w:id="48"/>
    </w:p>
    <w:p w14:paraId="562D15E6">
      <w:pPr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560"/>
        <w:textAlignment w:val="auto"/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</w:pPr>
      <w:r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  <w:t>《大数据技术应用基础》作为大数据与会计专业</w:t>
      </w:r>
      <w:r>
        <w:rPr>
          <w:rFonts w:hint="eastAsia" w:cs="Times New Roman"/>
          <w:kern w:val="2"/>
          <w:sz w:val="28"/>
          <w:szCs w:val="22"/>
          <w:lang w:val="en-US" w:eastAsia="zh-CN" w:bidi="ar-SA"/>
        </w:rPr>
        <w:t>基础</w:t>
      </w:r>
      <w:r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  <w:t>课程之一，全面贯彻党的教育方针，致力于落实立德树人的根本任务</w:t>
      </w:r>
      <w:r>
        <w:rPr>
          <w:rFonts w:hint="eastAsia" w:ascii="Times New Roman" w:hAnsi="Times New Roman" w:eastAsia="仿宋_GB2312" w:cs="Times New Roman"/>
          <w:kern w:val="2"/>
          <w:sz w:val="28"/>
          <w:szCs w:val="22"/>
          <w:lang w:val="en-US" w:eastAsia="zh-CN" w:bidi="ar-SA"/>
        </w:rPr>
        <w:t>,</w:t>
      </w:r>
      <w:r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  <w:t>聚焦 “技术工具→财务应用” 能力递进培养。</w:t>
      </w:r>
      <w:r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  <w:t>。本课程旨在培养学生勇于创新的精神和实践能力，提升学生的专业意识和项目实操能力，以达到培养学生具备扎实的理论基础和高效的操作技能的目标。</w:t>
      </w:r>
    </w:p>
    <w:p w14:paraId="484A3E1E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240" w:lineRule="auto"/>
        <w:ind w:firstLine="560" w:firstLineChars="200"/>
        <w:jc w:val="both"/>
        <w:textAlignment w:val="auto"/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</w:pPr>
      <w:r>
        <w:rPr>
          <w:rFonts w:ascii="Times New Roman" w:hAnsi="Times New Roman" w:eastAsia="仿宋_GB2312" w:cs="Times New Roman"/>
          <w:kern w:val="2"/>
          <w:sz w:val="28"/>
          <w:szCs w:val="22"/>
          <w:lang w:bidi="ar-SA"/>
        </w:rPr>
        <w:t>通过本课程的教学，学生将掌握数据采集、存储、处理、分析等技术，以及数据可视化、数据安全、数据挖掘等多方面的技能。课程旨在提高学生在数据分析过程中分析问题和解决问题的能力，为学生从学校到社会的平稳过渡提供坚实的基础。</w:t>
      </w:r>
    </w:p>
    <w:p w14:paraId="621E819A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left="0" w:leftChars="0" w:firstLine="0" w:firstLineChars="0"/>
        <w:textAlignment w:val="auto"/>
      </w:pPr>
      <w:bookmarkStart w:id="9" w:name="_Toc1651"/>
      <w:r>
        <w:rPr>
          <w:rFonts w:hint="eastAsia"/>
        </w:rPr>
        <w:t>三、课程目标</w:t>
      </w:r>
      <w:bookmarkEnd w:id="7"/>
      <w:bookmarkEnd w:id="8"/>
      <w:bookmarkEnd w:id="9"/>
      <w:bookmarkStart w:id="10" w:name="_Toc502337263"/>
    </w:p>
    <w:p w14:paraId="475EE3BC">
      <w:pPr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560"/>
        <w:textAlignment w:val="auto"/>
      </w:pPr>
      <w:r>
        <w:rPr>
          <w:rFonts w:hint="eastAsia"/>
        </w:rPr>
        <w:t>完成</w:t>
      </w:r>
      <w:r>
        <w:rPr>
          <w:rFonts w:hint="eastAsia"/>
          <w:lang w:val="en-US" w:eastAsia="zh-CN"/>
        </w:rPr>
        <w:t>本课</w:t>
      </w:r>
      <w:r>
        <w:rPr>
          <w:rFonts w:hint="eastAsia"/>
        </w:rPr>
        <w:t>程学习后，学生应当具有以下素质、知识和能力：</w:t>
      </w:r>
    </w:p>
    <w:bookmarkEnd w:id="10"/>
    <w:p w14:paraId="2CD7BFBC">
      <w:pPr>
        <w:pStyle w:val="4"/>
        <w:keepNext/>
        <w:keepLines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before="260" w:after="260" w:line="240" w:lineRule="auto"/>
        <w:ind w:firstLine="562" w:firstLineChars="200"/>
        <w:jc w:val="both"/>
        <w:textAlignment w:val="auto"/>
        <w:outlineLvl w:val="1"/>
        <w:rPr>
          <w:rFonts w:ascii="Times New Roman" w:hAnsi="Times New Roman" w:eastAsia="仿宋_GB2312" w:cs="Times New Roman"/>
          <w:b/>
          <w:bCs/>
          <w:kern w:val="2"/>
          <w:sz w:val="28"/>
          <w:szCs w:val="32"/>
          <w:lang w:bidi="ar-SA"/>
        </w:rPr>
      </w:pPr>
      <w:bookmarkStart w:id="11" w:name="_Toc502337264"/>
      <w:r>
        <w:rPr>
          <w:rFonts w:hint="eastAsia" w:cs="Times New Roman"/>
          <w:b/>
          <w:bCs/>
          <w:kern w:val="2"/>
          <w:sz w:val="28"/>
          <w:szCs w:val="32"/>
          <w:lang w:val="en-US" w:eastAsia="zh-CN" w:bidi="ar-SA"/>
        </w:rPr>
        <w:t>素质</w:t>
      </w:r>
      <w:r>
        <w:rPr>
          <w:rFonts w:ascii="Times New Roman" w:hAnsi="Times New Roman" w:eastAsia="仿宋_GB2312" w:cs="Times New Roman"/>
          <w:b/>
          <w:bCs/>
          <w:kern w:val="2"/>
          <w:sz w:val="28"/>
          <w:szCs w:val="32"/>
          <w:lang w:bidi="ar-SA"/>
        </w:rPr>
        <w:t>目标</w:t>
      </w:r>
    </w:p>
    <w:p w14:paraId="144C329B">
      <w:pPr>
        <w:pStyle w:val="31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</w:rPr>
        <w:t>1. 信息素养与数据诚信：树立 “数据真实即会计生命线” 意识，培养财务数据保密与合规处理的职业操守。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br w:type="textWrapping"/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t>2. 批判性思维与问题解决：通过会计数据案例分析，形成科学分析财务问题的思维方式。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br w:type="textWrapping"/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t>3. 团队协作与职业责任：在财务数据项目中强化协作能力，坚守审计数据伦理与职业道德准则。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br w:type="textWrapping"/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</w:rPr>
        <w:t>4. 持续学习与创新应用：跟踪财务大数据新技术，培养在智能财税场景中的创新应用能力。</w:t>
      </w:r>
    </w:p>
    <w:p w14:paraId="031AAB23">
      <w:pPr>
        <w:pStyle w:val="4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240" w:lineRule="auto"/>
        <w:ind w:firstLine="560"/>
        <w:textAlignment w:val="auto"/>
      </w:pPr>
      <w:bookmarkStart w:id="12" w:name="_Toc90472988"/>
      <w:bookmarkStart w:id="13" w:name="_Toc24734"/>
      <w:bookmarkStart w:id="14" w:name="_Toc1104"/>
      <w:r>
        <w:rPr>
          <w:rFonts w:hint="eastAsia"/>
        </w:rPr>
        <w:t>知识目标</w:t>
      </w:r>
      <w:bookmarkEnd w:id="11"/>
      <w:bookmarkEnd w:id="12"/>
      <w:bookmarkEnd w:id="13"/>
      <w:bookmarkEnd w:id="14"/>
      <w:bookmarkStart w:id="15" w:name="_Toc502337265"/>
    </w:p>
    <w:p w14:paraId="0FEE5A9F">
      <w:pPr>
        <w:pStyle w:val="31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1. 大数据技术基础：掌握大数据基本概念、处理流程及适用于会计场景的技术框架（Hadoop、Spark Streaming 等）。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br w:type="textWrapping"/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2. 财务数据处理知识：熟悉会计数据存储规范、税务数据特征及财务数据清洗、整合的方法原理。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br w:type="textWrapping"/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3. 可视化与工具应用：掌握 Power BI 财务模板、Excel 财务建模等工具的应用原理及财务报告撰写规范。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br w:type="textWrapping"/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4. 合规与伦理知识：理解《数据安全法》在财务数据处理中的要求及审计数据伦理规范。</w:t>
      </w:r>
    </w:p>
    <w:p w14:paraId="3824FC18">
      <w:pPr>
        <w:pStyle w:val="4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240" w:lineRule="auto"/>
        <w:ind w:firstLine="560"/>
        <w:textAlignment w:val="auto"/>
      </w:pPr>
      <w:bookmarkStart w:id="16" w:name="_Toc90472989"/>
      <w:bookmarkStart w:id="17" w:name="_Toc12623"/>
      <w:bookmarkStart w:id="18" w:name="_Toc30755"/>
      <w:r>
        <w:rPr>
          <w:rFonts w:hint="eastAsia"/>
        </w:rPr>
        <w:t>能力目标</w:t>
      </w:r>
      <w:bookmarkEnd w:id="15"/>
      <w:bookmarkEnd w:id="16"/>
      <w:bookmarkEnd w:id="17"/>
      <w:bookmarkEnd w:id="18"/>
    </w:p>
    <w:p w14:paraId="72E1B8F1">
      <w:pPr>
        <w:pStyle w:val="31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1. 基础层（支撑会计初级证书）：能运用 Excel 财务函数进行数据建模与基础分析。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br w:type="textWrapping"/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2. 进阶层（支撑智能财税证书）：能通过 SQL 查询财报数据，完成税务申报数据清洗。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br w:type="textWrapping"/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3. 高层（衔接新职业）：能使用 Python 构建简单财务预测模型，运用 Power BI 制作财务可视化看板。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br w:type="textWrapping"/>
      </w:r>
      <w:r>
        <w:rPr>
          <w:rFonts w:hint="eastAsia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 xml:space="preserve">    </w:t>
      </w:r>
      <w:r>
        <w:rPr>
          <w:rFonts w:hint="default" w:ascii="方正仿宋_GB2312" w:hAnsi="方正仿宋_GB2312" w:eastAsia="方正仿宋_GB2312" w:cs="方正仿宋_GB2312"/>
          <w:color w:val="auto"/>
          <w:sz w:val="28"/>
          <w:szCs w:val="28"/>
          <w:lang w:val="en-US" w:eastAsia="zh-CN"/>
        </w:rPr>
        <w:t>4. 综合应用：能设计 “原始凭证→数据处理→可视化报告” 的全流程财务数据分析方案。</w:t>
      </w:r>
    </w:p>
    <w:p w14:paraId="1CB9A4D5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653"/>
        <w:textAlignment w:val="auto"/>
        <w:rPr>
          <w:rFonts w:hint="eastAsia"/>
        </w:rPr>
      </w:pPr>
      <w:bookmarkStart w:id="19" w:name="_Toc24423"/>
      <w:bookmarkStart w:id="20" w:name="_Toc11296"/>
      <w:r>
        <w:rPr>
          <w:rFonts w:hint="eastAsia"/>
        </w:rPr>
        <w:t>四、课程职业能力分析</w:t>
      </w:r>
      <w:bookmarkEnd w:id="19"/>
      <w:bookmarkEnd w:id="20"/>
    </w:p>
    <w:p w14:paraId="18F53867">
      <w:pPr>
        <w:pageBreakBefore w:val="0"/>
        <w:widowControl/>
        <w:kinsoku/>
        <w:wordWrap/>
        <w:overflowPunct/>
        <w:topLinePunct w:val="0"/>
        <w:autoSpaceDE/>
        <w:autoSpaceDN/>
        <w:bidi w:val="0"/>
        <w:spacing w:before="156" w:beforeLines="50" w:line="240" w:lineRule="auto"/>
        <w:ind w:firstLine="0" w:firstLineChars="0"/>
        <w:jc w:val="center"/>
        <w:textAlignment w:val="auto"/>
        <w:rPr>
          <w:rFonts w:ascii="仿宋_GB2312" w:hAnsi="仿宋_GB2312" w:cs="仿宋_GB2312"/>
          <w:b/>
          <w:color w:val="000000"/>
          <w:sz w:val="24"/>
          <w:szCs w:val="24"/>
        </w:rPr>
      </w:pPr>
      <w:r>
        <w:rPr>
          <w:rFonts w:hint="eastAsia" w:ascii="仿宋_GB2312" w:hAnsi="仿宋_GB2312" w:cs="仿宋_GB2312"/>
          <w:b/>
          <w:color w:val="000000"/>
          <w:sz w:val="24"/>
          <w:szCs w:val="24"/>
        </w:rPr>
        <w:t>表2. 职业能力分析表</w:t>
      </w:r>
    </w:p>
    <w:tbl>
      <w:tblPr>
        <w:tblStyle w:val="14"/>
        <w:tblW w:w="9152" w:type="dxa"/>
        <w:tblInd w:w="-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7"/>
        <w:gridCol w:w="1409"/>
        <w:gridCol w:w="1851"/>
        <w:gridCol w:w="2268"/>
        <w:gridCol w:w="2347"/>
      </w:tblGrid>
      <w:tr w14:paraId="58DD7B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7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183AA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工作岗位</w:t>
            </w:r>
          </w:p>
        </w:tc>
        <w:tc>
          <w:tcPr>
            <w:tcW w:w="1409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A4C5BC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工作任务</w:t>
            </w:r>
          </w:p>
        </w:tc>
        <w:tc>
          <w:tcPr>
            <w:tcW w:w="1851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4280E3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工作内容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731CB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技能点</w:t>
            </w:r>
          </w:p>
        </w:tc>
        <w:tc>
          <w:tcPr>
            <w:tcW w:w="2347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231E34D4">
            <w:pPr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b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cs="仿宋_GB2312"/>
                <w:b/>
                <w:color w:val="000000"/>
                <w:sz w:val="24"/>
                <w:szCs w:val="24"/>
              </w:rPr>
              <w:t>知识点</w:t>
            </w:r>
          </w:p>
        </w:tc>
      </w:tr>
      <w:tr w14:paraId="682C0A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</w:trPr>
        <w:tc>
          <w:tcPr>
            <w:tcW w:w="127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3C6EAA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财务数据分析师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CF3C8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会计数据处理与分析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3C4CC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清洗税务申报数据、挖掘财务异常指标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19F3E7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会计数据清洗技术、财务指标分析方法财务可视化工具应用、图表设计原则数据整合策略、业财数据关联分析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3C30E61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财务数据处理流程、税务数据特征</w:t>
            </w:r>
          </w:p>
        </w:tc>
      </w:tr>
      <w:tr w14:paraId="1EEF42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91D5C69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财务可视化师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D3CBB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财务报告可视化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D38EA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用 Power Bl制作财报仪表盘、税务分析图表对接财务共享中心数据、支撑业财一体化分析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5E6ECC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会计数据清洗技术、财务指标分析方法财务可视化工具应用、图表设计原则数据整合策略、业财数据关联分析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7F7B36A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财务报告规范、可视化呈现技巧</w:t>
            </w:r>
          </w:p>
        </w:tc>
      </w:tr>
      <w:tr w14:paraId="303D7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313E341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智能财税专员</w:t>
            </w: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BA4659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业财数据整合应用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0E4E4C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清洗税务申报数据、挖掘财务异常指标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6846BEC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会计数据清洗技术、财务指标分析方法财务可视化工具应用、图表设计原则数据整合策略、业财数据关联分析</w:t>
            </w: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FDC869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560" w:firstLineChars="20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</w:rPr>
              <w:t>业财一体信息化标准、财务共享流程</w:t>
            </w:r>
          </w:p>
        </w:tc>
      </w:tr>
      <w:tr w14:paraId="5F5A1D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406C48B9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40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2EC324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0FF11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C17B35A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04482903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</w:tr>
      <w:tr w14:paraId="4B9407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" w:hRule="atLeast"/>
        </w:trPr>
        <w:tc>
          <w:tcPr>
            <w:tcW w:w="1277" w:type="dxa"/>
            <w:tcBorders>
              <w:left w:val="single" w:color="auto" w:sz="12" w:space="0"/>
              <w:right w:val="single" w:color="auto" w:sz="4" w:space="0"/>
            </w:tcBorders>
            <w:shd w:val="clear" w:color="auto" w:fill="auto"/>
            <w:vAlign w:val="center"/>
          </w:tcPr>
          <w:p w14:paraId="1F1B2D16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left="0" w:leftChars="0" w:firstLine="0" w:firstLineChars="0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409" w:type="dxa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9D7922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3D0CE1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B8EF4F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  <w:tc>
          <w:tcPr>
            <w:tcW w:w="23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shd w:val="clear" w:color="auto" w:fill="auto"/>
            <w:vAlign w:val="center"/>
          </w:tcPr>
          <w:p w14:paraId="6FD7F9B8">
            <w:pPr>
              <w:pStyle w:val="31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jc w:val="both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z w:val="28"/>
                <w:szCs w:val="28"/>
                <w:lang w:val="en-US" w:eastAsia="zh-CN"/>
              </w:rPr>
            </w:pPr>
          </w:p>
        </w:tc>
      </w:tr>
    </w:tbl>
    <w:p w14:paraId="0AD65DD3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left="0" w:leftChars="0" w:firstLine="0" w:firstLineChars="0"/>
        <w:textAlignment w:val="auto"/>
      </w:pPr>
      <w:bookmarkStart w:id="21" w:name="_Toc27541"/>
      <w:bookmarkStart w:id="22" w:name="_Toc30005"/>
      <w:bookmarkStart w:id="23" w:name="_Toc502337266"/>
      <w:r>
        <w:rPr>
          <w:rFonts w:hint="eastAsia"/>
        </w:rPr>
        <w:t>五、课程设计思路</w:t>
      </w:r>
      <w:bookmarkEnd w:id="21"/>
      <w:bookmarkEnd w:id="22"/>
    </w:p>
    <w:bookmarkEnd w:id="23"/>
    <w:p w14:paraId="0D4F014B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</w:pPr>
      <w:bookmarkStart w:id="24" w:name="_Toc11466"/>
      <w:bookmarkStart w:id="25" w:name="_Toc8844"/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  <w:t>一、教学路径</w:t>
      </w:r>
    </w:p>
    <w:p w14:paraId="6C4EF5FF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44"/>
          <w:sz w:val="28"/>
          <w:szCs w:val="4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  <w:t>课程内容编排：</w:t>
      </w:r>
      <w:r>
        <w:rPr>
          <w:rFonts w:hint="eastAsia" w:ascii="仿宋" w:hAnsi="仿宋" w:eastAsia="仿宋" w:cs="仿宋"/>
          <w:b w:val="0"/>
          <w:bCs w:val="0"/>
          <w:color w:val="auto"/>
          <w:kern w:val="44"/>
          <w:sz w:val="28"/>
          <w:szCs w:val="40"/>
          <w:lang w:val="en-US" w:eastAsia="zh-CN" w:bidi="ar-SA"/>
        </w:rPr>
        <w:t>课程内容按 “基础技术→财务场景” 逻辑编排：先讲解大数据基础概念与技术框架，再聚焦会计场景，通过 “金税系统数据处理”“上市公司财报分析” 等真实案例，强化技术在财务中的应用。教学采用 “理论讲授 + 财务项目实践” 模式，组织小组完成 “从原始凭证到可视化报告” 全流程项目，培养解决实际财务问题的能力。</w:t>
      </w:r>
    </w:p>
    <w:p w14:paraId="367264B9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  <w:t>教学方法：采用理论讲授与实践操作相结合的方式。在理论课上，运用多媒体教学手段，通过图片、视频等形式直观展示大数据技术原理和应用场景，提高学生的学习兴趣。在实践课上，安排学生在大数据实验平台上进行操作，如使用 Hadoop 框架进行数据存储和处理，让学生在实践中掌握大数据技术的操作技能。同时，组织小组讨论和项目式学习，布置小组项目，如要求学生针对某一行业的大数据分析需求，设计解决方案并实施，培养学生的团队协作能力和解决实际问题的能力。</w:t>
      </w:r>
    </w:p>
    <w:p w14:paraId="413636CA">
      <w:pPr>
        <w:pStyle w:val="3"/>
        <w:keepNext/>
        <w:keepLines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560" w:firstLine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  <w:t>教学评价</w:t>
      </w:r>
    </w:p>
    <w:p w14:paraId="51796420">
      <w:pPr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44"/>
          <w:sz w:val="28"/>
          <w:szCs w:val="40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color w:val="auto"/>
          <w:kern w:val="44"/>
          <w:sz w:val="28"/>
          <w:szCs w:val="40"/>
          <w:lang w:val="en-US" w:eastAsia="zh-CN" w:bidi="ar-SA"/>
        </w:rPr>
        <w:t>构建 “量化指标 + 过程跟踪” 评价体系：注重财务数据处理的准确性、时效性等岗位 KPI，通过平时实践、项目成果、证书衔接等多维度评价，及时反馈学习进展，鼓励自我评价与互评。</w:t>
      </w:r>
    </w:p>
    <w:p w14:paraId="480D6E49">
      <w:pPr>
        <w:pageBreakBefore w:val="0"/>
        <w:numPr>
          <w:numId w:val="0"/>
        </w:numPr>
        <w:kinsoku/>
        <w:wordWrap/>
        <w:overflowPunct/>
        <w:topLinePunct w:val="0"/>
        <w:autoSpaceDE/>
        <w:autoSpaceDN/>
        <w:bidi w:val="0"/>
        <w:spacing w:line="240" w:lineRule="auto"/>
        <w:ind w:leftChars="200"/>
        <w:textAlignment w:val="auto"/>
        <w:rPr>
          <w:rFonts w:hint="eastAsia" w:ascii="仿宋" w:hAnsi="仿宋" w:eastAsia="仿宋" w:cs="仿宋"/>
          <w:b w:val="0"/>
          <w:bCs w:val="0"/>
          <w:color w:val="auto"/>
          <w:kern w:val="44"/>
          <w:sz w:val="28"/>
          <w:szCs w:val="40"/>
          <w:lang w:val="en-US" w:eastAsia="zh-CN" w:bidi="ar-SA"/>
        </w:rPr>
      </w:pPr>
    </w:p>
    <w:p w14:paraId="1B02F044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  <w:t>多元化评价体系：构建包括平时成绩、实践项目成绩和期末考试成绩的多元化评价体系。平时成绩占比 30%，主要考察学生的课堂表现，如参与讨论的积极性、回答问题的准确性等，以及作业完成情况，包括作业的正确率、完成的及时性等。实践项目成绩占比 40%，根据学生在小组项目中的表现进行评价，包括项目方案的创新性、技术应用的合理性、团队协作的有效性等方面。期末考试成绩占比 30%，以理论知识考核为主，检验学生对大数据技术基础知识的掌握程度，题型包括选择题、简答题和论述题等。</w:t>
      </w:r>
    </w:p>
    <w:p w14:paraId="13B0DEA8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  <w:t>过程性评价：注重教学过程中的评价，定期对学生的学习进展进行反馈。例如，在实践项目进行过程中，教师每周对各小组的项目进展进行检查，及时指出存在的问题并给予指导，帮助学生不断改进项目方案和实施过程。同时，鼓励学生进行自我评价和互评，在小组项目结束后，组织学生进行自我评价和小组内互评，让学生从自身和他人的角度反思学习过程中的优点和不足，促进学生的自我提升。</w:t>
      </w:r>
    </w:p>
    <w:p w14:paraId="3285B5E8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  <w:t>三、课程思政</w:t>
      </w:r>
    </w:p>
    <w:p w14:paraId="667CE401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  <w:t>融入会计行业特色思政元素：在 “数据采集” 模块植入虚开发票数据追踪案例，“数据挖掘” 模块分析审计异常数据筛查实例，通过行业专家分享职业道德要求，强化财务数据合规与诚信意识。</w:t>
      </w:r>
    </w:p>
    <w:p w14:paraId="126C29E5">
      <w:pPr>
        <w:pStyle w:val="3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textAlignment w:val="auto"/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</w:pPr>
      <w:r>
        <w:rPr>
          <w:rFonts w:hint="eastAsia" w:ascii="仿宋" w:hAnsi="仿宋" w:eastAsia="仿宋" w:cs="仿宋"/>
          <w:b w:val="0"/>
          <w:bCs w:val="0"/>
          <w:color w:val="auto"/>
          <w:sz w:val="28"/>
          <w:szCs w:val="40"/>
        </w:rPr>
        <w:t>思政教育方式：采用案例教学和讨论式教学进行思政教育。选取具有代表性的大数据应用案例，如疫情期间大数据在疫情防控中的应用案例，分析其中体现的社会责任和团队合作精神，组织学生进行讨论，引导学生从思政角度进行思考。同时，邀请行业专家分享大数据行业的职业道德和职业素养要求，让学生了解行业对人才的全面需求，增强学生的职业认同感和使命感。</w:t>
      </w:r>
    </w:p>
    <w:p w14:paraId="1CE23C34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0" w:firstLineChars="0"/>
        <w:textAlignment w:val="auto"/>
      </w:pPr>
      <w:r>
        <w:rPr>
          <w:rFonts w:hint="eastAsia"/>
        </w:rPr>
        <w:t>六、课程结构与内容</w:t>
      </w:r>
      <w:bookmarkEnd w:id="24"/>
      <w:bookmarkEnd w:id="25"/>
      <w:bookmarkStart w:id="26" w:name="_Toc7467"/>
      <w:bookmarkStart w:id="27" w:name="_Toc19213"/>
    </w:p>
    <w:p w14:paraId="2E2C554F">
      <w:pPr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480"/>
        <w:jc w:val="center"/>
        <w:textAlignment w:val="auto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表3. 课程设计方案</w:t>
      </w:r>
      <w:bookmarkEnd w:id="26"/>
      <w:bookmarkEnd w:id="27"/>
    </w:p>
    <w:tbl>
      <w:tblPr>
        <w:tblStyle w:val="14"/>
        <w:tblW w:w="894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"/>
        <w:gridCol w:w="1202"/>
        <w:gridCol w:w="1183"/>
        <w:gridCol w:w="1936"/>
        <w:gridCol w:w="1842"/>
        <w:gridCol w:w="1843"/>
        <w:gridCol w:w="567"/>
      </w:tblGrid>
      <w:tr w14:paraId="29E6EC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</w:trPr>
        <w:tc>
          <w:tcPr>
            <w:tcW w:w="375" w:type="dxa"/>
            <w:tcBorders>
              <w:tl2br w:val="nil"/>
              <w:tr2bl w:val="nil"/>
            </w:tcBorders>
            <w:vAlign w:val="center"/>
          </w:tcPr>
          <w:p w14:paraId="75D176F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1202" w:type="dxa"/>
            <w:tcBorders>
              <w:tl2br w:val="nil"/>
              <w:tr2bl w:val="nil"/>
            </w:tcBorders>
            <w:vAlign w:val="center"/>
          </w:tcPr>
          <w:p w14:paraId="7FCCBAB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课程内容</w:t>
            </w:r>
          </w:p>
          <w:p w14:paraId="6C23DD1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6E68B4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579483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学习内容和要求</w:t>
            </w:r>
          </w:p>
        </w:tc>
        <w:tc>
          <w:tcPr>
            <w:tcW w:w="1842" w:type="dxa"/>
            <w:tcBorders>
              <w:tl2br w:val="nil"/>
              <w:tr2bl w:val="nil"/>
            </w:tcBorders>
            <w:vAlign w:val="center"/>
          </w:tcPr>
          <w:p w14:paraId="58D3DBF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教学设计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2A9795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课程思政设计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4AA1528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学时</w:t>
            </w:r>
          </w:p>
        </w:tc>
      </w:tr>
      <w:tr w14:paraId="30179D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8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1B08784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1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1A95F9F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大数据和数据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377D67EC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 xml:space="preserve">任务1 </w:t>
            </w:r>
          </w:p>
          <w:p w14:paraId="1DB30254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认识数据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4961C23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理解数据的本质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</w:tcPr>
          <w:p w14:paraId="3234AC5B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1.导入（5 分钟）​</w:t>
            </w:r>
          </w:p>
          <w:p w14:paraId="4586CD5C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展示生活中常见的数据场景，如超市购物小票数据、班级成绩表数据，提问：“这些数据有什么特点？生活中还有哪些类似数据？” 引出本节课主题。​</w:t>
            </w:r>
          </w:p>
          <w:p w14:paraId="547BDD12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数据概念讲解（1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 xml:space="preserve"> 分钟）​</w:t>
            </w:r>
          </w:p>
          <w:p w14:paraId="777DEADD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定义阐述：解释数据是对客观事物的符号表示，在计算机科学中，指所有能输入到计算机并被计算机程序处理的符号总称。​</w:t>
            </w:r>
          </w:p>
          <w:p w14:paraId="3577E4F1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举例说明：列举学生熟悉的数字、文字、图像、音频等不同形式的数据实例。​</w:t>
            </w:r>
          </w:p>
          <w:p w14:paraId="78A7011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3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.大数据概念及特征讲解（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5 分钟）​</w:t>
            </w:r>
          </w:p>
          <w:p w14:paraId="3AAA353D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概念引入：通过讲述电商平台海量订单数据处理、社交媒体每日产生的巨量用户动态数据等案例，引出大数据概念 —— 无法在一定时间范围内用常规软件工具进行捕捉、管理和处理的数据集合。​</w:t>
            </w:r>
          </w:p>
          <w:p w14:paraId="7D967393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“5V” 特征详解​</w:t>
            </w:r>
          </w:p>
          <w:p w14:paraId="21BDFC94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Volume（大量）：展示互联网公司每天产生的数据量单位由 GB 到 TB 甚至 PB 的增长趋势图。​</w:t>
            </w:r>
          </w:p>
          <w:p w14:paraId="5ECE56FD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Velocity（高速）：以实时交通数据为例，说明数据产生和处理的速度要求。​</w:t>
            </w:r>
          </w:p>
          <w:p w14:paraId="41B15E9F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Variety（多样）：列举电商平台中用户行为数据、商品属性数据、交易数据等多种类型。​</w:t>
            </w:r>
          </w:p>
          <w:p w14:paraId="63CD96D7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Value（价值）：分析通过挖掘用户浏览数据为企业精准营销带来的价值。​</w:t>
            </w:r>
          </w:p>
          <w:p w14:paraId="4328E8C3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Veracity（真实性）：强调数据质量对分析结果的重要性。​</w:t>
            </w:r>
          </w:p>
          <w:p w14:paraId="447985A0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.对比分析（10 分钟）​</w:t>
            </w:r>
          </w:p>
          <w:p w14:paraId="1A9B3B5E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以表格形式对比数据与大数据在规模、存储方式、处理工具、价值密度等方面的不同，引导学生思考并回答。​</w:t>
            </w:r>
          </w:p>
          <w:p w14:paraId="21F4F91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.案例分析与小组讨论（15 分钟）​</w:t>
            </w:r>
          </w:p>
          <w:p w14:paraId="325404F5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给出医疗大数据辅助疾病诊断、金融大数据防范风险等案例，分组讨论大数据在案例中的应用优势及面临的挑战。​</w:t>
            </w:r>
          </w:p>
          <w:p w14:paraId="4DBB68F4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每组派代表发言，教师总结点评。</w:t>
            </w:r>
          </w:p>
          <w:p w14:paraId="20E032A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6.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总结（5 分钟）​</w:t>
            </w:r>
          </w:p>
          <w:p w14:paraId="0D21CE93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回顾数据与大数据概念、大数据特征及应用，强调数据思维培养。​</w:t>
            </w:r>
          </w:p>
          <w:p w14:paraId="31F02F9E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7.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作业布置（5 分钟）​</w:t>
            </w:r>
          </w:p>
          <w:p w14:paraId="443109F7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让学生收集身边大数据应用案例，分析其如何体现大数据特征，下节课分享。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</w:tcPr>
          <w:p w14:paraId="5A43F4EA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融入诚信教育，强调数据处理的真实性和准确性。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7C179763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1</w:t>
            </w:r>
          </w:p>
        </w:tc>
      </w:tr>
      <w:tr w14:paraId="468507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4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150C11CB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0B1344F5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D171D7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 xml:space="preserve">任务2 </w:t>
            </w:r>
          </w:p>
          <w:p w14:paraId="5616DDFB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数据的价值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23E71FBD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会区分数据的关联类型；会辨别数据价值产生的应用场景</w:t>
            </w: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</w:tcPr>
          <w:p w14:paraId="74B96335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</w:tcPr>
          <w:p w14:paraId="071FE863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6E22C24D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1</w:t>
            </w:r>
          </w:p>
        </w:tc>
      </w:tr>
      <w:tr w14:paraId="4DD9B7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6" w:hRule="atLeast"/>
        </w:trPr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788ADDAE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2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026751DA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从问题到数据</w:t>
            </w: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029139C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厘清当前问题的关键；</w:t>
            </w:r>
          </w:p>
          <w:p w14:paraId="727ACA7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找到问题的数字化指标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6FFBC72B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能够从实际项目出发，梳理解决该项目的关键问题；能够综合运用OSM模型、AARRR模型、UJM模型梳理解决问题的关键指标。</w:t>
            </w:r>
          </w:p>
          <w:p w14:paraId="2BC15D6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</w:tcPr>
          <w:p w14:paraId="408A3EF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1.导入（5 分钟）​</w:t>
            </w:r>
          </w:p>
          <w:p w14:paraId="290623B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提出生活问题，如 “如何选择性价比最高的运动鞋”，引导学生思考解决此问题需了解哪些信息，引出从问题找数据的主题。​</w:t>
            </w:r>
          </w:p>
          <w:p w14:paraId="1CE3896D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2.分析问题确定数据（1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 xml:space="preserve"> 分钟）​</w:t>
            </w:r>
          </w:p>
          <w:p w14:paraId="7F46FAD0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详细讲解从问题的目标、限制条件等方面入手确定所需数据。​</w:t>
            </w:r>
          </w:p>
          <w:p w14:paraId="0D6F78F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以 “规划周末班级出游地点” 问题为例，和学生一起分析需考虑人数、预算、交通便利性等因素，对应产生参与人数、可支配资金、各景点交通费用等数据需求。​</w:t>
            </w:r>
          </w:p>
          <w:p w14:paraId="51AF6F90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3.数据获取方法介绍（15 分钟）​</w:t>
            </w:r>
          </w:p>
          <w:p w14:paraId="553467F0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直接观察法：举例观察校园内不同时段人流量获取相关数据。​</w:t>
            </w:r>
          </w:p>
          <w:p w14:paraId="0A1ADE77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问卷调查法：说明设计问卷收集同学对出游地点偏好数据的要点。​</w:t>
            </w:r>
          </w:p>
          <w:p w14:paraId="404FD523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网络查询法：展示从旅游网站获取景点门票价格等数据的操作。​</w:t>
            </w:r>
          </w:p>
          <w:p w14:paraId="71F20195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4.实践操作（15 分钟）​</w:t>
            </w:r>
          </w:p>
          <w:p w14:paraId="0715EA5E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给出 “调查学校周边小吃受欢迎程度” 问题，学生分组设计获取数据方案，包括确定数据、选择获取方法，教师巡视指导。​</w:t>
            </w:r>
          </w:p>
          <w:p w14:paraId="3CB2BEF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5.数据整理讲解（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15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 xml:space="preserve"> 分钟）​</w:t>
            </w:r>
          </w:p>
          <w:p w14:paraId="60CC2B21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分类整理：以小吃调查数据为例，按小吃类别整理销量数据。​</w:t>
            </w:r>
          </w:p>
          <w:p w14:paraId="03DED8D1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制作图表：教授用 Excel 制作简单柱状图展示小吃销量对比。​</w:t>
            </w:r>
          </w:p>
          <w:p w14:paraId="15FD7254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6.小组汇报与总结（10 分钟）​</w:t>
            </w:r>
          </w:p>
          <w:p w14:paraId="2E4FCEB0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各小组汇报数据获取方案及整理结果，教师总结从问题到数据流程，强调注意事项。​</w:t>
            </w:r>
          </w:p>
          <w:p w14:paraId="163AFFA3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7.作业布置（5 分钟）​</w:t>
            </w:r>
          </w:p>
          <w:p w14:paraId="6C93670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让学生课后完成 “家庭一周消费情况” 调查，获取、整理数据并分析，下节课分享。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</w:tcPr>
          <w:p w14:paraId="02F3A983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融入职业道德教育，引导学生正确、负责任地使用数据分析结果。</w:t>
            </w: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2CE427E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1</w:t>
            </w:r>
          </w:p>
        </w:tc>
      </w:tr>
      <w:tr w14:paraId="49A9E3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346C75F5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3FF60CF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2E9AC14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将关键问题数字化；</w:t>
            </w:r>
          </w:p>
          <w:p w14:paraId="75A48C87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找到所需数据并定位关键数据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7B3584AF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能够列举解决问题所需的数据和关键数据；</w:t>
            </w:r>
          </w:p>
          <w:p w14:paraId="31D499E7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能够使用著名的商业分析模型进行案例分析。</w:t>
            </w: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75C4A3E8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13D104A1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54AB4604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1</w:t>
            </w:r>
          </w:p>
        </w:tc>
      </w:tr>
      <w:tr w14:paraId="655BD2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1593A7A7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3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912788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寻找数据</w:t>
            </w:r>
          </w:p>
          <w:p w14:paraId="5D164D43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2890C2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了解常见数据获取途径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EF7D4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能够查找所需数据；</w:t>
            </w:r>
          </w:p>
          <w:p w14:paraId="5969CA8C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能够保存和处理相应数据。</w:t>
            </w: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  <w:vAlign w:val="center"/>
          </w:tcPr>
          <w:p w14:paraId="7ABFFE4E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1.趣味导入（10 分钟）​</w:t>
            </w:r>
          </w:p>
          <w:p w14:paraId="288432E4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展示生活中依靠数据做出决策的有趣案例，如某奶茶店通过分析周边人群口味数据调整新品研发方向，引发学生对数据重要性的思考。​</w:t>
            </w:r>
          </w:p>
          <w:p w14:paraId="5177C05B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提问学生：“在生活中，你们遇到过哪些需要寻找数据来解决的问题？” 鼓励学生分享经历，活跃课堂氛围，顺势引出本节课主题 —— 寻找数据。​</w:t>
            </w:r>
          </w:p>
          <w:p w14:paraId="2114980A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2.知识讲解（15 分钟）​</w:t>
            </w:r>
          </w:p>
          <w:p w14:paraId="3DE81880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讲解数据来源的分类，如一手数据（通过自身调查、实验获取）和二手数据（来源于书籍、网络、统计机构等）。​</w:t>
            </w:r>
          </w:p>
          <w:p w14:paraId="6D7CBB3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详细介绍常见的数据寻找方法：​</w:t>
            </w:r>
          </w:p>
          <w:p w14:paraId="7D1E235B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网络搜索：演示使用搜索引擎技巧，如运用关键词组合、限定搜索范围（文件类型、时间范围等）精准查找数据。以查找 “近五年本地小学生近视率变化数据” 为例，展示搜索过程。​</w:t>
            </w:r>
          </w:p>
          <w:p w14:paraId="16A502E0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问卷调查：讲解问卷设计原则，如问题简洁明了、避免引导性。现场设计一份简单的 “校园运动喜好调查” 问卷，说明发放、回收问卷流程。​</w:t>
            </w:r>
          </w:p>
          <w:p w14:paraId="1AB5FAF5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实地考察：举例去商场统计某类商品销量，需明确考察时间、地点、记录方式等要点。​</w:t>
            </w:r>
          </w:p>
          <w:p w14:paraId="4D80428C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3.案例剖析（15 分钟）​</w:t>
            </w:r>
          </w:p>
          <w:p w14:paraId="6FB3E0A4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给出具体案例，如 “为学校运动会选择参赛项目，如何寻找相关数据辅助决策”。​</w:t>
            </w:r>
          </w:p>
          <w:p w14:paraId="49D081FF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带领学生分析案例，从确定问题目标（选择适合学校学生参与的运动项目）出发，探讨可寻找的数据，如学生过往参赛成绩数据、不同项目受欢迎程度数据等。​</w:t>
            </w:r>
          </w:p>
          <w:p w14:paraId="59AF53EC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展示从不同途径获取这些数据的实际操作，如在学校数据库找成绩数据、用问卷星收集学生喜好数据，以及对获取到的数据初步整理、分析，得出结论。​</w:t>
            </w:r>
          </w:p>
          <w:p w14:paraId="52D4681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4.小组实践（30 分钟）​</w:t>
            </w:r>
          </w:p>
          <w:p w14:paraId="7090492A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将学生分组，每组给定一个问题，如 “校园环保行动中，哪种垃圾处理方式最受师生认可”“学校周边文具店商品价格对比” 等。​</w:t>
            </w:r>
          </w:p>
          <w:p w14:paraId="1C90AB02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小组讨论确定所需数据，选择数据寻找方法，制定计划。教师巡视各小组，提供指导和建议。​</w:t>
            </w:r>
          </w:p>
          <w:p w14:paraId="567730A2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小组按照计划开展数据收集实践，运用所学方法，可使用问卷星制作问卷、网络搜索相关资料等。期间教师实时答疑，确保实践顺利进行。​</w:t>
            </w:r>
          </w:p>
          <w:p w14:paraId="5BAD06AF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5.总结汇报（10 分钟）​</w:t>
            </w:r>
          </w:p>
          <w:p w14:paraId="49FA9E2C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每组派代表汇报实践成果，分享寻找数据过程，包括遇到的问题及解决办法，展示收集到的数据及初步分析。​</w:t>
            </w:r>
          </w:p>
          <w:p w14:paraId="3A9F50E9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其他小组提问、交流，教师总结评价各小组表现，强调寻找数据过程中的关键要点，如数据准确性保障、方法合理运用等，巩固所学知识。</w:t>
            </w: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  <w:vAlign w:val="center"/>
          </w:tcPr>
          <w:p w14:paraId="3E4A9917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强调在数据处理过程中要尊重数据隐私和版权。</w:t>
            </w:r>
          </w:p>
          <w:p w14:paraId="22BB1441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0AFB4A3E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  <w:t>2</w:t>
            </w:r>
          </w:p>
        </w:tc>
      </w:tr>
      <w:tr w14:paraId="59EDB7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0EB9082E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6B7B73E5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1A1851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default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获取数据的基本方法</w:t>
            </w:r>
          </w:p>
        </w:tc>
        <w:tc>
          <w:tcPr>
            <w:tcW w:w="193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70E865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  <w:t>能够有效获取数据；能够高效快速地检索数据。</w:t>
            </w: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51904C66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27CFB980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670C322C">
            <w:pPr>
              <w:pStyle w:val="3"/>
              <w:keepNext/>
              <w:keepLines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firstLine="0" w:firstLineChars="0"/>
              <w:textAlignment w:val="auto"/>
              <w:rPr>
                <w:rFonts w:hint="eastAsia" w:ascii="仿宋" w:hAnsi="仿宋" w:eastAsia="仿宋" w:cs="仿宋"/>
                <w:b w:val="0"/>
                <w:bCs w:val="0"/>
                <w:color w:val="auto"/>
                <w:sz w:val="28"/>
                <w:szCs w:val="40"/>
              </w:rPr>
            </w:pPr>
          </w:p>
        </w:tc>
      </w:tr>
      <w:tr w14:paraId="1EE202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vMerge w:val="restart"/>
            <w:tcBorders>
              <w:tl2br w:val="nil"/>
              <w:tr2bl w:val="nil"/>
            </w:tcBorders>
            <w:vAlign w:val="center"/>
          </w:tcPr>
          <w:p w14:paraId="4B6C3995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ascii="仿宋_GB2312" w:hAnsi="仿宋_GB2312" w:cs="仿宋_GB2312"/>
                <w:sz w:val="24"/>
                <w:szCs w:val="24"/>
              </w:rPr>
              <w:t>4</w:t>
            </w:r>
          </w:p>
        </w:tc>
        <w:tc>
          <w:tcPr>
            <w:tcW w:w="1202" w:type="dxa"/>
            <w:vMerge w:val="restart"/>
            <w:tcBorders>
              <w:tl2br w:val="nil"/>
              <w:tr2bl w:val="nil"/>
            </w:tcBorders>
            <w:vAlign w:val="center"/>
          </w:tcPr>
          <w:p w14:paraId="11E9F6F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57B4933C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25D09F3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restart"/>
            <w:tcBorders>
              <w:tl2br w:val="nil"/>
              <w:tr2bl w:val="nil"/>
            </w:tcBorders>
            <w:vAlign w:val="center"/>
          </w:tcPr>
          <w:p w14:paraId="4639C1A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restart"/>
            <w:tcBorders>
              <w:tl2br w:val="nil"/>
              <w:tr2bl w:val="nil"/>
            </w:tcBorders>
            <w:vAlign w:val="center"/>
          </w:tcPr>
          <w:p w14:paraId="635BCC4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  <w:tcBorders>
              <w:tl2br w:val="nil"/>
              <w:tr2bl w:val="nil"/>
            </w:tcBorders>
            <w:vAlign w:val="center"/>
          </w:tcPr>
          <w:p w14:paraId="53B9EDB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5B8AA4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5" w:type="dxa"/>
            <w:vMerge w:val="continue"/>
            <w:tcBorders>
              <w:tl2br w:val="nil"/>
              <w:tr2bl w:val="nil"/>
            </w:tcBorders>
            <w:vAlign w:val="center"/>
          </w:tcPr>
          <w:p w14:paraId="5F8744C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202" w:type="dxa"/>
            <w:vMerge w:val="continue"/>
            <w:tcBorders>
              <w:tl2br w:val="nil"/>
              <w:tr2bl w:val="nil"/>
            </w:tcBorders>
            <w:vAlign w:val="center"/>
          </w:tcPr>
          <w:p w14:paraId="6366D41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83" w:type="dxa"/>
            <w:tcBorders>
              <w:tl2br w:val="nil"/>
              <w:tr2bl w:val="nil"/>
            </w:tcBorders>
            <w:vAlign w:val="center"/>
          </w:tcPr>
          <w:p w14:paraId="7AE481D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936" w:type="dxa"/>
            <w:tcBorders>
              <w:tl2br w:val="nil"/>
              <w:tr2bl w:val="nil"/>
            </w:tcBorders>
            <w:vAlign w:val="center"/>
          </w:tcPr>
          <w:p w14:paraId="767FBBC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/>
                <w:sz w:val="24"/>
                <w:szCs w:val="24"/>
              </w:rPr>
            </w:pPr>
          </w:p>
        </w:tc>
        <w:tc>
          <w:tcPr>
            <w:tcW w:w="1842" w:type="dxa"/>
            <w:vMerge w:val="continue"/>
            <w:tcBorders>
              <w:tl2br w:val="nil"/>
              <w:tr2bl w:val="nil"/>
            </w:tcBorders>
            <w:vAlign w:val="center"/>
          </w:tcPr>
          <w:p w14:paraId="1D52A55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843" w:type="dxa"/>
            <w:vMerge w:val="continue"/>
            <w:tcBorders>
              <w:tl2br w:val="nil"/>
              <w:tr2bl w:val="nil"/>
            </w:tcBorders>
            <w:vAlign w:val="center"/>
          </w:tcPr>
          <w:p w14:paraId="069EE14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vMerge w:val="continue"/>
            <w:tcBorders>
              <w:tl2br w:val="nil"/>
              <w:tr2bl w:val="nil"/>
            </w:tcBorders>
            <w:vAlign w:val="center"/>
          </w:tcPr>
          <w:p w14:paraId="18359B1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  <w:tr w14:paraId="763B16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81" w:type="dxa"/>
            <w:gridSpan w:val="6"/>
            <w:tcBorders>
              <w:tl2br w:val="nil"/>
              <w:tr2bl w:val="nil"/>
            </w:tcBorders>
            <w:vAlign w:val="center"/>
          </w:tcPr>
          <w:p w14:paraId="70C5895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567" w:type="dxa"/>
            <w:tcBorders>
              <w:tl2br w:val="nil"/>
              <w:tr2bl w:val="nil"/>
            </w:tcBorders>
            <w:vAlign w:val="center"/>
          </w:tcPr>
          <w:p w14:paraId="653325B9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</w:tbl>
    <w:p w14:paraId="31D1B5BF">
      <w:pPr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480"/>
        <w:jc w:val="left"/>
        <w:textAlignment w:val="auto"/>
        <w:rPr>
          <w:rFonts w:ascii="仿宋_GB2312" w:hAnsi="仿宋_GB2312" w:cs="仿宋_GB2312"/>
          <w:b/>
          <w:bCs/>
          <w:sz w:val="24"/>
          <w:szCs w:val="21"/>
        </w:rPr>
      </w:pPr>
    </w:p>
    <w:p w14:paraId="0A6BD2BF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653"/>
        <w:textAlignment w:val="auto"/>
      </w:pPr>
      <w:bookmarkStart w:id="28" w:name="_Toc20287"/>
      <w:bookmarkStart w:id="29" w:name="_Toc18126"/>
      <w:bookmarkStart w:id="30" w:name="_Toc502337267"/>
      <w:r>
        <w:rPr>
          <w:rFonts w:hint="eastAsia"/>
        </w:rPr>
        <w:t>七、学习评价</w:t>
      </w:r>
      <w:bookmarkEnd w:id="28"/>
      <w:bookmarkEnd w:id="29"/>
      <w:bookmarkEnd w:id="30"/>
    </w:p>
    <w:p w14:paraId="6580A2EE">
      <w:pPr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560"/>
        <w:textAlignment w:val="auto"/>
        <w:rPr>
          <w:rFonts w:hint="eastAsia"/>
          <w:color w:val="FF0000"/>
        </w:rPr>
      </w:pPr>
      <w:r>
        <w:rPr>
          <w:rFonts w:hint="eastAsia"/>
          <w:b/>
          <w:bCs/>
        </w:rPr>
        <w:t>课程达标要求：</w:t>
      </w:r>
      <w:r>
        <w:rPr>
          <w:rFonts w:hint="eastAsia"/>
          <w:color w:val="FF0000"/>
        </w:rPr>
        <w:t>（分模块设计）</w:t>
      </w:r>
    </w:p>
    <w:p w14:paraId="12F7717C">
      <w:pPr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480"/>
        <w:jc w:val="center"/>
        <w:textAlignment w:val="auto"/>
        <w:rPr>
          <w:rFonts w:ascii="仿宋_GB2312" w:hAnsi="仿宋_GB2312" w:cs="仿宋_GB2312"/>
          <w:b/>
          <w:bCs/>
          <w:sz w:val="24"/>
          <w:szCs w:val="21"/>
        </w:rPr>
      </w:pPr>
      <w:r>
        <w:rPr>
          <w:rFonts w:hint="eastAsia" w:ascii="仿宋_GB2312" w:hAnsi="仿宋_GB2312" w:cs="仿宋_GB2312"/>
          <w:b/>
          <w:bCs/>
          <w:sz w:val="24"/>
          <w:szCs w:val="21"/>
        </w:rPr>
        <w:t>表4</w:t>
      </w:r>
      <w:r>
        <w:rPr>
          <w:rFonts w:ascii="仿宋_GB2312" w:hAnsi="仿宋_GB2312" w:cs="仿宋_GB2312"/>
          <w:b/>
          <w:bCs/>
          <w:sz w:val="24"/>
          <w:szCs w:val="21"/>
        </w:rPr>
        <w:t xml:space="preserve">. </w:t>
      </w:r>
      <w:r>
        <w:rPr>
          <w:rFonts w:hint="eastAsia" w:ascii="仿宋_GB2312" w:hAnsi="仿宋_GB2312" w:cs="仿宋_GB2312"/>
          <w:b/>
          <w:bCs/>
          <w:sz w:val="24"/>
          <w:szCs w:val="21"/>
        </w:rPr>
        <w:t>学习评价表</w:t>
      </w:r>
    </w:p>
    <w:tbl>
      <w:tblPr>
        <w:tblStyle w:val="14"/>
        <w:tblW w:w="9658" w:type="dxa"/>
        <w:tblInd w:w="-193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2"/>
        <w:gridCol w:w="1197"/>
        <w:gridCol w:w="1356"/>
        <w:gridCol w:w="3024"/>
        <w:gridCol w:w="2505"/>
        <w:gridCol w:w="1134"/>
      </w:tblGrid>
      <w:tr w14:paraId="4071AC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442" w:type="dxa"/>
            <w:tcBorders>
              <w:tl2br w:val="nil"/>
              <w:tr2bl w:val="nil"/>
            </w:tcBorders>
            <w:vAlign w:val="center"/>
          </w:tcPr>
          <w:p w14:paraId="39C9608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评价环节</w:t>
            </w: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7D89545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课程内容</w:t>
            </w:r>
          </w:p>
          <w:p w14:paraId="18756F0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（模块/项目）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6C30A50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学习任务</w:t>
            </w:r>
          </w:p>
        </w:tc>
        <w:tc>
          <w:tcPr>
            <w:tcW w:w="3024" w:type="dxa"/>
            <w:tcBorders>
              <w:tl2br w:val="nil"/>
              <w:tr2bl w:val="nil"/>
            </w:tcBorders>
            <w:vAlign w:val="center"/>
          </w:tcPr>
          <w:p w14:paraId="2137B65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评价标准</w:t>
            </w:r>
          </w:p>
          <w:p w14:paraId="715AF54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（学习产出合格要求）</w:t>
            </w:r>
          </w:p>
        </w:tc>
        <w:tc>
          <w:tcPr>
            <w:tcW w:w="2505" w:type="dxa"/>
            <w:tcBorders>
              <w:tl2br w:val="nil"/>
              <w:tr2bl w:val="nil"/>
            </w:tcBorders>
            <w:vAlign w:val="center"/>
          </w:tcPr>
          <w:p w14:paraId="49819909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评价方法</w:t>
            </w:r>
          </w:p>
          <w:p w14:paraId="0BD8D719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（方法、工具、场所）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18C091F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占比</w:t>
            </w:r>
          </w:p>
          <w:p w14:paraId="2EAD10F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（%）</w:t>
            </w:r>
          </w:p>
        </w:tc>
      </w:tr>
      <w:tr w14:paraId="3F37F1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</w:trPr>
        <w:tc>
          <w:tcPr>
            <w:tcW w:w="442" w:type="dxa"/>
            <w:vMerge w:val="restart"/>
            <w:tcBorders>
              <w:tl2br w:val="nil"/>
              <w:tr2bl w:val="nil"/>
            </w:tcBorders>
            <w:vAlign w:val="center"/>
          </w:tcPr>
          <w:p w14:paraId="63FB335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/>
                <w:b/>
                <w:bCs/>
                <w:sz w:val="24"/>
                <w:szCs w:val="24"/>
              </w:rPr>
            </w:pPr>
          </w:p>
          <w:p w14:paraId="36EE0C3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  <w:r>
              <w:rPr>
                <w:rFonts w:hint="eastAsia" w:ascii="仿宋_GB2312"/>
                <w:b/>
                <w:bCs/>
                <w:sz w:val="24"/>
                <w:szCs w:val="24"/>
              </w:rPr>
              <w:t>过程性评价</w:t>
            </w: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</w:tcPr>
          <w:p w14:paraId="655771D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数据收集与处理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66B8545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掌握数据收集方法，熟练使用问卷星等工具</w:t>
            </w:r>
          </w:p>
        </w:tc>
        <w:tc>
          <w:tcPr>
            <w:tcW w:w="3024" w:type="dxa"/>
            <w:vMerge w:val="restart"/>
            <w:tcBorders>
              <w:tl2br w:val="nil"/>
              <w:tr2bl w:val="nil"/>
            </w:tcBorders>
            <w:vAlign w:val="center"/>
          </w:tcPr>
          <w:p w14:paraId="733D7B8C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能够提交数据收集和处理报告，清晰展示数据收集过程、方法及处理结果</w:t>
            </w:r>
          </w:p>
        </w:tc>
        <w:tc>
          <w:tcPr>
            <w:tcW w:w="2505" w:type="dxa"/>
            <w:vMerge w:val="restart"/>
            <w:tcBorders>
              <w:tl2br w:val="nil"/>
              <w:tr2bl w:val="nil"/>
            </w:tcBorders>
          </w:tcPr>
          <w:p w14:paraId="57EB17C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实操考核、小组互评 课堂</w:t>
            </w: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70FD447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  <w:t>30</w:t>
            </w:r>
          </w:p>
        </w:tc>
      </w:tr>
      <w:tr w14:paraId="30D6F4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031FF9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792799D9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7F46110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能够正确处理和分析数据，确保数据准确性和完整性。</w:t>
            </w: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</w:tcPr>
          <w:p w14:paraId="3E08AC89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</w:tcPr>
          <w:p w14:paraId="6DCFE00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  <w:vAlign w:val="center"/>
          </w:tcPr>
          <w:p w14:paraId="5AD1773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</w:p>
        </w:tc>
      </w:tr>
      <w:tr w14:paraId="243BAC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417C762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tcBorders>
              <w:tl2br w:val="nil"/>
              <w:tr2bl w:val="nil"/>
            </w:tcBorders>
            <w:vAlign w:val="center"/>
          </w:tcPr>
          <w:p w14:paraId="5ECCEAD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知识理解与应用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765B0B6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理解大数据基本概念、原理和技术；</w:t>
            </w:r>
          </w:p>
        </w:tc>
        <w:tc>
          <w:tcPr>
            <w:tcW w:w="3024" w:type="dxa"/>
            <w:vMerge w:val="restart"/>
            <w:tcBorders>
              <w:tl2br w:val="nil"/>
              <w:tr2bl w:val="nil"/>
            </w:tcBorders>
          </w:tcPr>
          <w:p w14:paraId="18A622F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能够完成案例分析或项目实践，展示对大数据技术的理解和应用能力。</w:t>
            </w:r>
          </w:p>
        </w:tc>
        <w:tc>
          <w:tcPr>
            <w:tcW w:w="2505" w:type="dxa"/>
            <w:vMerge w:val="restart"/>
            <w:tcBorders>
              <w:tl2br w:val="nil"/>
              <w:tr2bl w:val="nil"/>
            </w:tcBorders>
          </w:tcPr>
          <w:p w14:paraId="1E12782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例分析报告、项目实践展示 课堂、线上平台</w:t>
            </w: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459946B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  <w:t>40</w:t>
            </w:r>
          </w:p>
        </w:tc>
      </w:tr>
      <w:tr w14:paraId="183B2D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204953A7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381AF99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7DE52FF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能够运用所学知识解决实际问题，如数据清洗、数据挖掘等。</w:t>
            </w: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</w:tcPr>
          <w:p w14:paraId="5C6D7C4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</w:tcPr>
          <w:p w14:paraId="6F45AB7F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  <w:vAlign w:val="center"/>
          </w:tcPr>
          <w:p w14:paraId="5ED1231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</w:p>
        </w:tc>
      </w:tr>
      <w:tr w14:paraId="39B147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3153176A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tcBorders>
              <w:tl2br w:val="nil"/>
              <w:tr2bl w:val="nil"/>
            </w:tcBorders>
            <w:vAlign w:val="center"/>
          </w:tcPr>
          <w:p w14:paraId="5BB61CB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团队协作与沟通 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747979B1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积极参与小组讨论，有效沟通，共同完成学习任务。</w:t>
            </w:r>
          </w:p>
        </w:tc>
        <w:tc>
          <w:tcPr>
            <w:tcW w:w="3024" w:type="dxa"/>
            <w:tcBorders>
              <w:tl2br w:val="nil"/>
              <w:tr2bl w:val="nil"/>
            </w:tcBorders>
          </w:tcPr>
          <w:p w14:paraId="10419FE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能够听取他人意见，提出建设性建议，促进团队协作。 </w:t>
            </w:r>
          </w:p>
        </w:tc>
        <w:tc>
          <w:tcPr>
            <w:tcW w:w="2505" w:type="dxa"/>
            <w:tcBorders>
              <w:tl2br w:val="nil"/>
              <w:tr2bl w:val="nil"/>
            </w:tcBorders>
          </w:tcPr>
          <w:p w14:paraId="1AE9CED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小组互评、教师观察 课堂</w:t>
            </w:r>
          </w:p>
        </w:tc>
        <w:tc>
          <w:tcPr>
            <w:tcW w:w="1134" w:type="dxa"/>
            <w:tcBorders>
              <w:tl2br w:val="nil"/>
              <w:tr2bl w:val="nil"/>
            </w:tcBorders>
            <w:vAlign w:val="center"/>
          </w:tcPr>
          <w:p w14:paraId="16B1AFC8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  <w:t>20</w:t>
            </w:r>
          </w:p>
        </w:tc>
      </w:tr>
      <w:tr w14:paraId="22B74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1EE0FB7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restart"/>
            <w:tcBorders>
              <w:top w:val="single" w:color="auto" w:sz="4" w:space="0"/>
              <w:tl2br w:val="nil"/>
              <w:tr2bl w:val="nil"/>
            </w:tcBorders>
            <w:vAlign w:val="center"/>
          </w:tcPr>
          <w:p w14:paraId="381AC74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创新思维与拓展</w:t>
            </w: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765B2B6E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能够独立思考，提出创新性的解决方案或观点。</w:t>
            </w:r>
          </w:p>
        </w:tc>
        <w:tc>
          <w:tcPr>
            <w:tcW w:w="3024" w:type="dxa"/>
            <w:vMerge w:val="restart"/>
            <w:tcBorders>
              <w:tl2br w:val="nil"/>
              <w:tr2bl w:val="nil"/>
            </w:tcBorders>
            <w:vAlign w:val="center"/>
          </w:tcPr>
          <w:p w14:paraId="721744CD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能够主动拓展学习内容，关注大数据领域的新技术、新趋势。 </w:t>
            </w:r>
          </w:p>
        </w:tc>
        <w:tc>
          <w:tcPr>
            <w:tcW w:w="2505" w:type="dxa"/>
            <w:vMerge w:val="restart"/>
            <w:tcBorders>
              <w:tl2br w:val="nil"/>
              <w:tr2bl w:val="nil"/>
            </w:tcBorders>
            <w:vAlign w:val="center"/>
          </w:tcPr>
          <w:p w14:paraId="03485ED0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创新方案展示、拓展学习报告 线上平台、课堂</w:t>
            </w:r>
          </w:p>
        </w:tc>
        <w:tc>
          <w:tcPr>
            <w:tcW w:w="1134" w:type="dxa"/>
            <w:vMerge w:val="restart"/>
            <w:tcBorders>
              <w:tl2br w:val="nil"/>
              <w:tr2bl w:val="nil"/>
            </w:tcBorders>
            <w:vAlign w:val="center"/>
          </w:tcPr>
          <w:p w14:paraId="0A6A151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sz w:val="28"/>
                <w:szCs w:val="28"/>
                <w:lang w:val="en-US" w:eastAsia="zh-CN"/>
              </w:rPr>
              <w:t>10</w:t>
            </w:r>
          </w:p>
        </w:tc>
      </w:tr>
      <w:tr w14:paraId="39F783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8" w:hRule="atLeast"/>
        </w:trPr>
        <w:tc>
          <w:tcPr>
            <w:tcW w:w="442" w:type="dxa"/>
            <w:vMerge w:val="continue"/>
            <w:tcBorders>
              <w:tl2br w:val="nil"/>
              <w:tr2bl w:val="nil"/>
            </w:tcBorders>
          </w:tcPr>
          <w:p w14:paraId="6C1D7F52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97" w:type="dxa"/>
            <w:vMerge w:val="continue"/>
            <w:tcBorders>
              <w:tl2br w:val="nil"/>
              <w:tr2bl w:val="nil"/>
            </w:tcBorders>
            <w:vAlign w:val="center"/>
          </w:tcPr>
          <w:p w14:paraId="42AA4C83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356" w:type="dxa"/>
            <w:tcBorders>
              <w:tl2br w:val="nil"/>
              <w:tr2bl w:val="nil"/>
            </w:tcBorders>
            <w:vAlign w:val="center"/>
          </w:tcPr>
          <w:p w14:paraId="1A46060C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textAlignment w:val="auto"/>
              <w:rPr>
                <w:rFonts w:hint="eastAsia" w:ascii="仿宋_GB2312" w:hAnsi="仿宋_GB2312" w:cs="仿宋_GB2312"/>
                <w:sz w:val="24"/>
                <w:szCs w:val="24"/>
              </w:rPr>
            </w:pPr>
          </w:p>
        </w:tc>
        <w:tc>
          <w:tcPr>
            <w:tcW w:w="3024" w:type="dxa"/>
            <w:vMerge w:val="continue"/>
            <w:tcBorders>
              <w:tl2br w:val="nil"/>
              <w:tr2bl w:val="nil"/>
            </w:tcBorders>
            <w:vAlign w:val="center"/>
          </w:tcPr>
          <w:p w14:paraId="0B62C6A4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2505" w:type="dxa"/>
            <w:vMerge w:val="continue"/>
            <w:tcBorders>
              <w:tl2br w:val="nil"/>
              <w:tr2bl w:val="nil"/>
            </w:tcBorders>
            <w:vAlign w:val="center"/>
          </w:tcPr>
          <w:p w14:paraId="676B319B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  <w:tc>
          <w:tcPr>
            <w:tcW w:w="1134" w:type="dxa"/>
            <w:vMerge w:val="continue"/>
            <w:tcBorders>
              <w:tl2br w:val="nil"/>
              <w:tr2bl w:val="nil"/>
            </w:tcBorders>
          </w:tcPr>
          <w:p w14:paraId="165AF1B6">
            <w:pPr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240" w:lineRule="auto"/>
              <w:ind w:firstLine="0" w:firstLineChars="0"/>
              <w:jc w:val="center"/>
              <w:textAlignment w:val="auto"/>
              <w:rPr>
                <w:rFonts w:ascii="仿宋_GB2312" w:hAnsi="仿宋_GB2312" w:cs="仿宋_GB2312"/>
                <w:sz w:val="24"/>
                <w:szCs w:val="24"/>
              </w:rPr>
            </w:pPr>
          </w:p>
        </w:tc>
      </w:tr>
    </w:tbl>
    <w:p w14:paraId="678BCB8B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653"/>
        <w:textAlignment w:val="auto"/>
      </w:pPr>
      <w:bookmarkStart w:id="31" w:name="_Toc11140"/>
      <w:bookmarkStart w:id="32" w:name="_Toc502337268"/>
      <w:bookmarkStart w:id="33" w:name="_Toc18233"/>
      <w:r>
        <w:rPr>
          <w:rFonts w:hint="eastAsia"/>
        </w:rPr>
        <w:t>八、教学资源</w:t>
      </w:r>
      <w:bookmarkEnd w:id="31"/>
      <w:bookmarkEnd w:id="32"/>
      <w:bookmarkEnd w:id="33"/>
    </w:p>
    <w:p w14:paraId="790C8E27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560"/>
        <w:textAlignment w:val="auto"/>
        <w:rPr>
          <w:rFonts w:hint="eastAsia"/>
        </w:rPr>
      </w:pPr>
      <w:bookmarkStart w:id="34" w:name="_Toc20587"/>
      <w:bookmarkStart w:id="35" w:name="_Toc16925"/>
      <w:r>
        <w:rPr>
          <w:rFonts w:hint="eastAsia"/>
        </w:rPr>
        <w:t>（一）主要参考教材</w:t>
      </w:r>
      <w:bookmarkEnd w:id="34"/>
      <w:bookmarkEnd w:id="35"/>
    </w:p>
    <w:p w14:paraId="28E8DE70">
      <w:pPr>
        <w:pStyle w:val="2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>1. 姚勇 大数据技术应用基础（会计场景版） 人民邮电出版社 2025 年修订版</w:t>
      </w:r>
      <w:r>
        <w:rPr>
          <w:rFonts w:hint="default" w:ascii="仿宋" w:hAnsi="仿宋" w:eastAsia="仿宋" w:cs="仿宋"/>
          <w:kern w:val="2"/>
          <w:sz w:val="28"/>
          <w:szCs w:val="28"/>
          <w:lang w:val="en-US" w:eastAsia="zh-CN" w:bidi="ar-SA"/>
        </w:rPr>
        <w:br w:type="textWrapping"/>
      </w:r>
      <w:r>
        <w:rPr>
          <w:rFonts w:hint="eastAsia" w:ascii="仿宋" w:hAnsi="仿宋" w:eastAsia="仿宋" w:cs="仿宋"/>
          <w:kern w:val="2"/>
          <w:sz w:val="28"/>
          <w:szCs w:val="28"/>
          <w:lang w:val="en-US" w:eastAsia="zh-CN" w:bidi="ar-SA"/>
        </w:rPr>
        <w:t xml:space="preserve">    </w:t>
      </w:r>
      <w:r>
        <w:rPr>
          <w:rFonts w:hint="default" w:ascii="仿宋" w:hAnsi="仿宋" w:eastAsia="仿宋" w:cs="仿宋"/>
          <w:kern w:val="2"/>
          <w:sz w:val="28"/>
          <w:szCs w:val="28"/>
          <w:lang w:val="en-US" w:eastAsia="zh-CN" w:bidi="ar-SA"/>
        </w:rPr>
        <w:t>2.《业财一体信息化应用职业技能等级评价标准》 2025 年版</w:t>
      </w:r>
    </w:p>
    <w:p w14:paraId="7AF20F81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560"/>
        <w:textAlignment w:val="auto"/>
        <w:rPr>
          <w:rFonts w:hint="eastAsia"/>
        </w:rPr>
      </w:pPr>
      <w:bookmarkStart w:id="36" w:name="_Toc29665"/>
      <w:bookmarkStart w:id="37" w:name="_Toc17555"/>
      <w:r>
        <w:rPr>
          <w:rFonts w:hint="eastAsia"/>
        </w:rPr>
        <w:t>（二）其他参考资料</w:t>
      </w:r>
      <w:bookmarkEnd w:id="36"/>
      <w:bookmarkEnd w:id="37"/>
    </w:p>
    <w:p w14:paraId="562645B3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560"/>
        <w:textAlignment w:val="auto"/>
        <w:rPr>
          <w:rFonts w:hint="default" w:ascii="仿宋" w:hAnsi="仿宋" w:eastAsia="仿宋" w:cs="仿宋"/>
          <w:b w:val="0"/>
          <w:bCs w:val="0"/>
          <w:kern w:val="2"/>
          <w:sz w:val="28"/>
          <w:szCs w:val="28"/>
          <w:lang w:val="en-US" w:eastAsia="zh-CN" w:bidi="ar-SA"/>
        </w:rPr>
      </w:pPr>
      <w:bookmarkStart w:id="38" w:name="_Toc21776"/>
      <w:bookmarkStart w:id="39" w:name="_Toc27934"/>
      <w:r>
        <w:rPr>
          <w:rFonts w:hint="eastAsia" w:ascii="仿宋" w:hAnsi="仿宋" w:eastAsia="仿宋" w:cs="仿宋"/>
          <w:b w:val="0"/>
          <w:bCs w:val="0"/>
          <w:kern w:val="2"/>
          <w:sz w:val="28"/>
          <w:szCs w:val="28"/>
          <w:lang w:val="en-US" w:eastAsia="zh-CN" w:bidi="ar-SA"/>
        </w:rPr>
        <w:t>1. 财务大数据分析案例库（含上市公司脱敏财报、税务稽查案例）</w:t>
      </w:r>
      <w:r>
        <w:rPr>
          <w:rFonts w:hint="default" w:ascii="仿宋" w:hAnsi="仿宋" w:eastAsia="仿宋" w:cs="仿宋"/>
          <w:b w:val="0"/>
          <w:bCs w:val="0"/>
          <w:kern w:val="2"/>
          <w:sz w:val="28"/>
          <w:szCs w:val="28"/>
          <w:lang w:val="en-US" w:eastAsia="zh-CN" w:bidi="ar-SA"/>
        </w:rPr>
        <w:br w:type="textWrapping"/>
      </w:r>
      <w:r>
        <w:rPr>
          <w:rFonts w:hint="eastAsia" w:ascii="仿宋" w:hAnsi="仿宋" w:eastAsia="仿宋" w:cs="仿宋"/>
          <w:b w:val="0"/>
          <w:bCs w:val="0"/>
          <w:kern w:val="2"/>
          <w:sz w:val="28"/>
          <w:szCs w:val="28"/>
          <w:lang w:val="en-US" w:eastAsia="zh-CN" w:bidi="ar-SA"/>
        </w:rPr>
        <w:t xml:space="preserve">    </w:t>
      </w:r>
      <w:r>
        <w:rPr>
          <w:rFonts w:hint="default" w:ascii="仿宋" w:hAnsi="仿宋" w:eastAsia="仿宋" w:cs="仿宋"/>
          <w:b w:val="0"/>
          <w:bCs w:val="0"/>
          <w:kern w:val="2"/>
          <w:sz w:val="28"/>
          <w:szCs w:val="28"/>
          <w:lang w:val="en-US" w:eastAsia="zh-CN" w:bidi="ar-SA"/>
        </w:rPr>
        <w:t>2. 中国大学 MOOC “财务大数据应用” 精品课程</w:t>
      </w:r>
    </w:p>
    <w:p w14:paraId="01DC1869">
      <w:pPr>
        <w:pStyle w:val="4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560"/>
        <w:textAlignment w:val="auto"/>
      </w:pPr>
      <w:r>
        <w:rPr>
          <w:rFonts w:hint="eastAsia"/>
        </w:rPr>
        <w:t>（三）实训条件</w:t>
      </w:r>
      <w:bookmarkEnd w:id="38"/>
      <w:bookmarkEnd w:id="39"/>
    </w:p>
    <w:p w14:paraId="027ACDEB">
      <w:pPr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textAlignment w:val="auto"/>
        <w:rPr>
          <w:rFonts w:hint="eastAsia" w:ascii="仿宋" w:hAnsi="仿宋" w:eastAsia="仿宋" w:cs="仿宋"/>
          <w:lang w:val="en-US" w:eastAsia="zh-CN"/>
        </w:rPr>
      </w:pPr>
      <w:r>
        <w:rPr>
          <w:rFonts w:hint="eastAsia" w:ascii="仿宋" w:hAnsi="仿宋" w:eastAsia="仿宋" w:cs="仿宋"/>
        </w:rPr>
        <w:t>1. 硬件设施：智能财税实训室（配备高性能计算机、数据服务器）</w:t>
      </w:r>
      <w:r>
        <w:rPr>
          <w:rFonts w:hint="default" w:ascii="仿宋" w:hAnsi="仿宋" w:eastAsia="仿宋" w:cs="仿宋"/>
        </w:rPr>
        <w:br w:type="textWrapping"/>
      </w:r>
      <w:r>
        <w:rPr>
          <w:rFonts w:hint="eastAsia" w:ascii="仿宋" w:hAnsi="仿宋" w:eastAsia="仿宋" w:cs="仿宋"/>
          <w:lang w:val="en-US" w:eastAsia="zh-CN"/>
        </w:rPr>
        <w:t xml:space="preserve">    </w:t>
      </w:r>
      <w:r>
        <w:rPr>
          <w:rFonts w:hint="default" w:ascii="仿宋" w:hAnsi="仿宋" w:eastAsia="仿宋" w:cs="仿宋"/>
        </w:rPr>
        <w:t>2. 软件设施：会计大数据沙盒系统（内置虚拟企业账套、金税系统模拟数据）、Power BI、SQL Server</w:t>
      </w:r>
    </w:p>
    <w:p w14:paraId="75FA7429">
      <w:pPr>
        <w:pStyle w:val="4"/>
        <w:pageBreakBefore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240" w:lineRule="auto"/>
        <w:ind w:left="0" w:leftChars="0" w:firstLine="562" w:firstLineChars="200"/>
        <w:textAlignment w:val="auto"/>
        <w:rPr>
          <w:rFonts w:hint="eastAsia"/>
        </w:rPr>
      </w:pPr>
      <w:bookmarkStart w:id="40" w:name="_Toc7079"/>
      <w:bookmarkStart w:id="41" w:name="_Toc29888"/>
      <w:r>
        <w:rPr>
          <w:rFonts w:hint="eastAsia"/>
        </w:rPr>
        <w:t>信息化教学资源</w:t>
      </w:r>
      <w:bookmarkEnd w:id="40"/>
      <w:bookmarkEnd w:id="41"/>
    </w:p>
    <w:p w14:paraId="778F2677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653"/>
        <w:textAlignment w:val="auto"/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</w:pPr>
      <w:bookmarkStart w:id="42" w:name="_Toc6694"/>
      <w:bookmarkStart w:id="43" w:name="_Toc12227"/>
      <w:bookmarkStart w:id="44" w:name="_Hlk90479468"/>
      <w:r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  <w:t>财务数据集（税务申报数据、财报数据）、智能财税实训平台、财务可视化模板库</w:t>
      </w:r>
    </w:p>
    <w:p w14:paraId="5BBE0D6B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653"/>
        <w:textAlignment w:val="auto"/>
        <w:rPr>
          <w:rFonts w:hint="eastAsia"/>
        </w:rPr>
      </w:pPr>
      <w:r>
        <w:rPr>
          <w:rFonts w:hint="eastAsia"/>
        </w:rPr>
        <w:t>九、师资要求</w:t>
      </w:r>
      <w:bookmarkEnd w:id="42"/>
      <w:bookmarkEnd w:id="43"/>
    </w:p>
    <w:p w14:paraId="12A035C1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left="0" w:leftChars="0" w:firstLine="0" w:firstLineChars="0"/>
        <w:textAlignment w:val="auto"/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</w:pPr>
      <w:bookmarkStart w:id="45" w:name="_Toc3001"/>
      <w:bookmarkStart w:id="46" w:name="_Toc502337269"/>
      <w:bookmarkStart w:id="47" w:name="_Toc29184"/>
      <w:r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  <w:t>1. 专任教师需具备高校教师资格，会计或大数据相关专业本科以上学历。</w:t>
      </w:r>
      <w:r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  <w:br w:type="textWrapping"/>
      </w:r>
      <w:r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  <w:t>2. 持有智能财税 / 业财一体信息化应用等 1+X 证书。</w:t>
      </w:r>
      <w:r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  <w:br w:type="textWrapping"/>
      </w:r>
      <w:r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  <w:t>3. 每 5 年累计不少于 6 个月企业财务共享中心或会计师事务所实践经验（需提供企业证明）。</w:t>
      </w:r>
      <w:r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  <w:br w:type="textWrapping"/>
      </w:r>
      <w:r>
        <w:rPr>
          <w:rFonts w:hint="default" w:ascii="仿宋" w:hAnsi="仿宋" w:eastAsia="仿宋" w:cs="仿宋"/>
          <w:b w:val="0"/>
          <w:bCs w:val="0"/>
          <w:kern w:val="2"/>
          <w:sz w:val="28"/>
          <w:szCs w:val="22"/>
          <w:lang w:val="en-US" w:eastAsia="zh-CN" w:bidi="ar-SA"/>
        </w:rPr>
        <w:t>4. 每年参与至少 1 项财务大数据分析项目或案例研究。</w:t>
      </w:r>
    </w:p>
    <w:p w14:paraId="4CBADBFB"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spacing w:line="240" w:lineRule="auto"/>
        <w:ind w:firstLine="653"/>
        <w:textAlignment w:val="auto"/>
      </w:pPr>
      <w:r>
        <w:rPr>
          <w:rFonts w:hint="eastAsia"/>
        </w:rPr>
        <w:t>十、其它说明</w:t>
      </w:r>
      <w:bookmarkEnd w:id="45"/>
      <w:bookmarkEnd w:id="46"/>
      <w:bookmarkEnd w:id="47"/>
    </w:p>
    <w:bookmarkEnd w:id="3"/>
    <w:bookmarkEnd w:id="4"/>
    <w:bookmarkEnd w:id="5"/>
    <w:bookmarkEnd w:id="44"/>
    <w:p w14:paraId="3F6E71FC">
      <w:pPr>
        <w:ind w:firstLine="560"/>
        <w:rPr>
          <w:rFonts w:ascii="仿宋_GB2312" w:hAnsi="宋体" w:cs="宋体"/>
          <w:kern w:val="0"/>
          <w:szCs w:val="28"/>
        </w:rPr>
      </w:pPr>
    </w:p>
    <w:sectPr>
      <w:headerReference r:id="rId12" w:type="default"/>
      <w:footerReference r:id="rId13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B0604020202020204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方正流行体简体">
    <w:altName w:val="微软雅黑"/>
    <w:panose1 w:val="020B0604020202020204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隶书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470BCA">
    <w:pPr>
      <w:pStyle w:val="2"/>
      <w:ind w:firstLine="360"/>
      <w:jc w:val="center"/>
    </w:pPr>
    <w:r>
      <w:rPr>
        <w:lang w:val="zh-CN"/>
      </w:rPr>
      <w:t xml:space="preserve"> </w:t>
    </w:r>
  </w:p>
  <w:p w14:paraId="449C1408">
    <w:pPr>
      <w:pStyle w:val="2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453460">
    <w:pPr>
      <w:pStyle w:val="2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1F800D">
    <w:pPr>
      <w:pStyle w:val="2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3A16AC">
    <w:pPr>
      <w:pStyle w:val="2"/>
      <w:ind w:firstLine="360"/>
      <w:jc w:val="center"/>
    </w:pPr>
    <w:r>
      <w:rPr>
        <w:lang w:val="zh-CN"/>
      </w:rPr>
      <w:t xml:space="preserve"> </w:t>
    </w:r>
  </w:p>
  <w:p w14:paraId="7384CB6D">
    <w:pPr>
      <w:pStyle w:val="2"/>
      <w:ind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DF9A68">
    <w:pPr>
      <w:pStyle w:val="2"/>
      <w:ind w:firstLine="360"/>
      <w:jc w:val="center"/>
    </w:pPr>
    <w:r>
      <w:rPr>
        <w:lang w:val="zh-CN"/>
      </w:rPr>
      <w:t xml:space="preserve"> </w:t>
    </w:r>
  </w:p>
  <w:p w14:paraId="34334021">
    <w:pPr>
      <w:pStyle w:val="2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2849AC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F45177">
    <w:pPr>
      <w:pStyle w:val="9"/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D71B80">
    <w:pPr>
      <w:pStyle w:val="9"/>
      <w:ind w:firstLine="360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F56A6B">
    <w:pPr>
      <w:pStyle w:val="9"/>
      <w:pBdr>
        <w:bottom w:val="none" w:color="auto" w:sz="0" w:space="1"/>
      </w:pBdr>
      <w:spacing w:line="240" w:lineRule="atLeast"/>
      <w:ind w:firstLine="180" w:firstLineChars="100"/>
      <w:jc w:val="both"/>
      <w:rPr>
        <w:rFonts w:eastAsia="方正流行体简体"/>
      </w:rPr>
    </w:pPr>
    <w:r>
      <w:rPr>
        <w:rFonts w:hint="eastAsia" w:eastAsia="方正流行体简体"/>
      </w:rPr>
      <w:drawing>
        <wp:inline distT="0" distB="0" distL="114300" distR="114300">
          <wp:extent cx="1393190" cy="368935"/>
          <wp:effectExtent l="0" t="0" r="16510" b="12065"/>
          <wp:docPr id="5" name="图片 5" descr="logo最终_0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图片 5" descr="logo最终_00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93190" cy="3689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C46F812"/>
    <w:multiLevelType w:val="singleLevel"/>
    <w:tmpl w:val="9C46F81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A23BC07"/>
    <w:multiLevelType w:val="singleLevel"/>
    <w:tmpl w:val="2A23BC0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2M2NmNGMxMDg2YzBkOTQ1ZjVhOTEzZWJjNTQxNTIifQ=="/>
  </w:docVars>
  <w:rsids>
    <w:rsidRoot w:val="2D276405"/>
    <w:rsid w:val="00010287"/>
    <w:rsid w:val="000158C8"/>
    <w:rsid w:val="00037198"/>
    <w:rsid w:val="000375A8"/>
    <w:rsid w:val="0007188A"/>
    <w:rsid w:val="00074CE6"/>
    <w:rsid w:val="0008653B"/>
    <w:rsid w:val="00090EF3"/>
    <w:rsid w:val="00094F85"/>
    <w:rsid w:val="000A1C1B"/>
    <w:rsid w:val="000B0F18"/>
    <w:rsid w:val="000B35BF"/>
    <w:rsid w:val="000C04B5"/>
    <w:rsid w:val="000C2990"/>
    <w:rsid w:val="000D20C4"/>
    <w:rsid w:val="000D6D09"/>
    <w:rsid w:val="000F38AE"/>
    <w:rsid w:val="000F46CF"/>
    <w:rsid w:val="000F550A"/>
    <w:rsid w:val="00100708"/>
    <w:rsid w:val="00105E63"/>
    <w:rsid w:val="00146A3A"/>
    <w:rsid w:val="00175FB5"/>
    <w:rsid w:val="00180B79"/>
    <w:rsid w:val="001B6CE5"/>
    <w:rsid w:val="001B77EB"/>
    <w:rsid w:val="001C2D0D"/>
    <w:rsid w:val="001C7F18"/>
    <w:rsid w:val="001E24DF"/>
    <w:rsid w:val="00236E56"/>
    <w:rsid w:val="0024285D"/>
    <w:rsid w:val="0024605A"/>
    <w:rsid w:val="00254379"/>
    <w:rsid w:val="0025646E"/>
    <w:rsid w:val="00256E2B"/>
    <w:rsid w:val="00257929"/>
    <w:rsid w:val="00283618"/>
    <w:rsid w:val="002866D3"/>
    <w:rsid w:val="00291611"/>
    <w:rsid w:val="00293859"/>
    <w:rsid w:val="002B729E"/>
    <w:rsid w:val="002C3F12"/>
    <w:rsid w:val="002C5955"/>
    <w:rsid w:val="002D2D69"/>
    <w:rsid w:val="002D35C9"/>
    <w:rsid w:val="002E5D4E"/>
    <w:rsid w:val="002E75E6"/>
    <w:rsid w:val="002F4B15"/>
    <w:rsid w:val="00315D23"/>
    <w:rsid w:val="00343746"/>
    <w:rsid w:val="0034627C"/>
    <w:rsid w:val="003527C8"/>
    <w:rsid w:val="00393025"/>
    <w:rsid w:val="003943F1"/>
    <w:rsid w:val="0039488F"/>
    <w:rsid w:val="003A0055"/>
    <w:rsid w:val="003A276A"/>
    <w:rsid w:val="003C296D"/>
    <w:rsid w:val="003C4887"/>
    <w:rsid w:val="00420E90"/>
    <w:rsid w:val="00421B4A"/>
    <w:rsid w:val="004223F9"/>
    <w:rsid w:val="00436BFD"/>
    <w:rsid w:val="00444450"/>
    <w:rsid w:val="00450237"/>
    <w:rsid w:val="00451470"/>
    <w:rsid w:val="00474CAE"/>
    <w:rsid w:val="004A01B3"/>
    <w:rsid w:val="004C2D0B"/>
    <w:rsid w:val="004E3CB8"/>
    <w:rsid w:val="00525082"/>
    <w:rsid w:val="0053300E"/>
    <w:rsid w:val="00541337"/>
    <w:rsid w:val="00550B06"/>
    <w:rsid w:val="00563F44"/>
    <w:rsid w:val="00563FA7"/>
    <w:rsid w:val="00564686"/>
    <w:rsid w:val="005735A7"/>
    <w:rsid w:val="0057602E"/>
    <w:rsid w:val="00577132"/>
    <w:rsid w:val="00582729"/>
    <w:rsid w:val="005A700E"/>
    <w:rsid w:val="005B708F"/>
    <w:rsid w:val="005D7110"/>
    <w:rsid w:val="005F05C9"/>
    <w:rsid w:val="00603C22"/>
    <w:rsid w:val="0065768E"/>
    <w:rsid w:val="00665764"/>
    <w:rsid w:val="006724D7"/>
    <w:rsid w:val="006925D3"/>
    <w:rsid w:val="006A6985"/>
    <w:rsid w:val="006D4EB4"/>
    <w:rsid w:val="006F25D1"/>
    <w:rsid w:val="006F400D"/>
    <w:rsid w:val="00703E4B"/>
    <w:rsid w:val="0073131C"/>
    <w:rsid w:val="00754B54"/>
    <w:rsid w:val="0075702C"/>
    <w:rsid w:val="00762712"/>
    <w:rsid w:val="00763524"/>
    <w:rsid w:val="00772CB3"/>
    <w:rsid w:val="00782257"/>
    <w:rsid w:val="00784E49"/>
    <w:rsid w:val="007A1ECB"/>
    <w:rsid w:val="007A2F9C"/>
    <w:rsid w:val="007D290A"/>
    <w:rsid w:val="007D77EA"/>
    <w:rsid w:val="007E72B7"/>
    <w:rsid w:val="007F4531"/>
    <w:rsid w:val="00842DBC"/>
    <w:rsid w:val="008446F5"/>
    <w:rsid w:val="00850B99"/>
    <w:rsid w:val="00872314"/>
    <w:rsid w:val="00875636"/>
    <w:rsid w:val="00885D26"/>
    <w:rsid w:val="00885F99"/>
    <w:rsid w:val="008B7E2C"/>
    <w:rsid w:val="008C0E17"/>
    <w:rsid w:val="008C559B"/>
    <w:rsid w:val="008E5607"/>
    <w:rsid w:val="008E785F"/>
    <w:rsid w:val="008F2620"/>
    <w:rsid w:val="00913C39"/>
    <w:rsid w:val="00922E25"/>
    <w:rsid w:val="00924CCF"/>
    <w:rsid w:val="00962643"/>
    <w:rsid w:val="00980CCE"/>
    <w:rsid w:val="00992186"/>
    <w:rsid w:val="00992A56"/>
    <w:rsid w:val="009973B3"/>
    <w:rsid w:val="009A6E9D"/>
    <w:rsid w:val="009B50F0"/>
    <w:rsid w:val="009C1E3A"/>
    <w:rsid w:val="009C4B9D"/>
    <w:rsid w:val="009D3A60"/>
    <w:rsid w:val="009D5976"/>
    <w:rsid w:val="009E677F"/>
    <w:rsid w:val="009F1CF0"/>
    <w:rsid w:val="009F4FDD"/>
    <w:rsid w:val="009F7201"/>
    <w:rsid w:val="00A05002"/>
    <w:rsid w:val="00A132BF"/>
    <w:rsid w:val="00A320A4"/>
    <w:rsid w:val="00A50419"/>
    <w:rsid w:val="00A55D5B"/>
    <w:rsid w:val="00A639E4"/>
    <w:rsid w:val="00A673D7"/>
    <w:rsid w:val="00A92FC2"/>
    <w:rsid w:val="00A9664F"/>
    <w:rsid w:val="00A96E49"/>
    <w:rsid w:val="00AB52B8"/>
    <w:rsid w:val="00AB5304"/>
    <w:rsid w:val="00AD14B2"/>
    <w:rsid w:val="00B16084"/>
    <w:rsid w:val="00B3044C"/>
    <w:rsid w:val="00B42037"/>
    <w:rsid w:val="00B5546F"/>
    <w:rsid w:val="00B702D3"/>
    <w:rsid w:val="00B774B1"/>
    <w:rsid w:val="00BC6E20"/>
    <w:rsid w:val="00BF15E8"/>
    <w:rsid w:val="00BF3086"/>
    <w:rsid w:val="00C0769A"/>
    <w:rsid w:val="00C12F4A"/>
    <w:rsid w:val="00C26F59"/>
    <w:rsid w:val="00C2787E"/>
    <w:rsid w:val="00C40A99"/>
    <w:rsid w:val="00C436AA"/>
    <w:rsid w:val="00C4409F"/>
    <w:rsid w:val="00C53479"/>
    <w:rsid w:val="00C62D53"/>
    <w:rsid w:val="00C64E28"/>
    <w:rsid w:val="00C84D06"/>
    <w:rsid w:val="00C97FA1"/>
    <w:rsid w:val="00CA5FCE"/>
    <w:rsid w:val="00CB0CE3"/>
    <w:rsid w:val="00CB7501"/>
    <w:rsid w:val="00CD2011"/>
    <w:rsid w:val="00CD4EEC"/>
    <w:rsid w:val="00CE4677"/>
    <w:rsid w:val="00CE5C7F"/>
    <w:rsid w:val="00CF770E"/>
    <w:rsid w:val="00D002CF"/>
    <w:rsid w:val="00D44DAA"/>
    <w:rsid w:val="00D519E3"/>
    <w:rsid w:val="00D5645B"/>
    <w:rsid w:val="00D601BB"/>
    <w:rsid w:val="00D7011C"/>
    <w:rsid w:val="00D74B40"/>
    <w:rsid w:val="00D8629B"/>
    <w:rsid w:val="00D91BBB"/>
    <w:rsid w:val="00DA5244"/>
    <w:rsid w:val="00DA6138"/>
    <w:rsid w:val="00DD4C42"/>
    <w:rsid w:val="00DD58DB"/>
    <w:rsid w:val="00DE0387"/>
    <w:rsid w:val="00DE4D08"/>
    <w:rsid w:val="00DF1AA5"/>
    <w:rsid w:val="00DF6647"/>
    <w:rsid w:val="00E03334"/>
    <w:rsid w:val="00E24646"/>
    <w:rsid w:val="00E6536B"/>
    <w:rsid w:val="00E716AF"/>
    <w:rsid w:val="00E96458"/>
    <w:rsid w:val="00EA7732"/>
    <w:rsid w:val="00EB7705"/>
    <w:rsid w:val="00EC4BE6"/>
    <w:rsid w:val="00EF0B59"/>
    <w:rsid w:val="00EF1B5F"/>
    <w:rsid w:val="00F00AA7"/>
    <w:rsid w:val="00F01C90"/>
    <w:rsid w:val="00F03D56"/>
    <w:rsid w:val="00F13AE7"/>
    <w:rsid w:val="00F13E29"/>
    <w:rsid w:val="00F170B8"/>
    <w:rsid w:val="00F2030D"/>
    <w:rsid w:val="00F350EF"/>
    <w:rsid w:val="00F6105C"/>
    <w:rsid w:val="00F70C6F"/>
    <w:rsid w:val="00F733B8"/>
    <w:rsid w:val="00F97C40"/>
    <w:rsid w:val="00FA7642"/>
    <w:rsid w:val="00FC2753"/>
    <w:rsid w:val="00FC6B31"/>
    <w:rsid w:val="00FD0E2D"/>
    <w:rsid w:val="00FD7241"/>
    <w:rsid w:val="00FE1860"/>
    <w:rsid w:val="00FE6999"/>
    <w:rsid w:val="011D4067"/>
    <w:rsid w:val="01A60944"/>
    <w:rsid w:val="029678BC"/>
    <w:rsid w:val="04F36FCB"/>
    <w:rsid w:val="06264DD4"/>
    <w:rsid w:val="071F59E5"/>
    <w:rsid w:val="0B4B3EED"/>
    <w:rsid w:val="0C300E1D"/>
    <w:rsid w:val="0E7D7E97"/>
    <w:rsid w:val="0EBD108E"/>
    <w:rsid w:val="0FC24DB4"/>
    <w:rsid w:val="12A85BB1"/>
    <w:rsid w:val="13B668C3"/>
    <w:rsid w:val="13C6123F"/>
    <w:rsid w:val="13D33102"/>
    <w:rsid w:val="152B70E8"/>
    <w:rsid w:val="15D56A42"/>
    <w:rsid w:val="162D0BF8"/>
    <w:rsid w:val="169325B8"/>
    <w:rsid w:val="16C26ABE"/>
    <w:rsid w:val="172F601F"/>
    <w:rsid w:val="1761002E"/>
    <w:rsid w:val="17735D8C"/>
    <w:rsid w:val="18493218"/>
    <w:rsid w:val="188D1AD1"/>
    <w:rsid w:val="18BA29FE"/>
    <w:rsid w:val="196862FE"/>
    <w:rsid w:val="19C57049"/>
    <w:rsid w:val="1C9248D3"/>
    <w:rsid w:val="1E0C36DB"/>
    <w:rsid w:val="1ED85A70"/>
    <w:rsid w:val="1F7A2683"/>
    <w:rsid w:val="20CB6697"/>
    <w:rsid w:val="21051C71"/>
    <w:rsid w:val="2392755E"/>
    <w:rsid w:val="24FE5B05"/>
    <w:rsid w:val="25E92311"/>
    <w:rsid w:val="273677B9"/>
    <w:rsid w:val="29790743"/>
    <w:rsid w:val="297B506E"/>
    <w:rsid w:val="2D276405"/>
    <w:rsid w:val="2E7B7787"/>
    <w:rsid w:val="2EE10029"/>
    <w:rsid w:val="2F6710FD"/>
    <w:rsid w:val="2F6A77B8"/>
    <w:rsid w:val="2FB3013A"/>
    <w:rsid w:val="30393E95"/>
    <w:rsid w:val="30611F0A"/>
    <w:rsid w:val="317D4E81"/>
    <w:rsid w:val="33670DA7"/>
    <w:rsid w:val="338F274A"/>
    <w:rsid w:val="33BD324E"/>
    <w:rsid w:val="34710AAF"/>
    <w:rsid w:val="35D80A37"/>
    <w:rsid w:val="3A9340B4"/>
    <w:rsid w:val="3B342893"/>
    <w:rsid w:val="3DD96F86"/>
    <w:rsid w:val="3EBC5DDD"/>
    <w:rsid w:val="3FF42CA8"/>
    <w:rsid w:val="41C604F3"/>
    <w:rsid w:val="43805C0B"/>
    <w:rsid w:val="44562E10"/>
    <w:rsid w:val="44883AC1"/>
    <w:rsid w:val="44890655"/>
    <w:rsid w:val="45DB3EF9"/>
    <w:rsid w:val="47DB4379"/>
    <w:rsid w:val="489268FC"/>
    <w:rsid w:val="49564CEF"/>
    <w:rsid w:val="4B5160DF"/>
    <w:rsid w:val="4CCD5FB7"/>
    <w:rsid w:val="4CF431C6"/>
    <w:rsid w:val="4D2B6ED9"/>
    <w:rsid w:val="4E053309"/>
    <w:rsid w:val="5053199D"/>
    <w:rsid w:val="50FC089B"/>
    <w:rsid w:val="51E732F9"/>
    <w:rsid w:val="521A547C"/>
    <w:rsid w:val="53596C0B"/>
    <w:rsid w:val="54A518C5"/>
    <w:rsid w:val="54CC5154"/>
    <w:rsid w:val="54FC1AEC"/>
    <w:rsid w:val="562A3B61"/>
    <w:rsid w:val="575F1A59"/>
    <w:rsid w:val="58C63C68"/>
    <w:rsid w:val="592310BA"/>
    <w:rsid w:val="59B04FCC"/>
    <w:rsid w:val="5A502305"/>
    <w:rsid w:val="5A63129F"/>
    <w:rsid w:val="5ADE57B1"/>
    <w:rsid w:val="5BCF6EC1"/>
    <w:rsid w:val="5BDB3ECE"/>
    <w:rsid w:val="5E015742"/>
    <w:rsid w:val="5E8A4E8C"/>
    <w:rsid w:val="5F5244A8"/>
    <w:rsid w:val="606C3347"/>
    <w:rsid w:val="632B74E9"/>
    <w:rsid w:val="646A5DEF"/>
    <w:rsid w:val="64843F74"/>
    <w:rsid w:val="680E73DA"/>
    <w:rsid w:val="685B2491"/>
    <w:rsid w:val="694C5B6A"/>
    <w:rsid w:val="6C932E12"/>
    <w:rsid w:val="6D695A44"/>
    <w:rsid w:val="6E560BE9"/>
    <w:rsid w:val="6E8A7606"/>
    <w:rsid w:val="70D22201"/>
    <w:rsid w:val="76AA6A38"/>
    <w:rsid w:val="76B86E8E"/>
    <w:rsid w:val="775C1F10"/>
    <w:rsid w:val="78574485"/>
    <w:rsid w:val="79363CA6"/>
    <w:rsid w:val="7A547586"/>
    <w:rsid w:val="7AA3575A"/>
    <w:rsid w:val="7BB35BD5"/>
    <w:rsid w:val="7C482314"/>
    <w:rsid w:val="7C770A16"/>
    <w:rsid w:val="7D7E6007"/>
    <w:rsid w:val="7F625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nhideWhenUsed="0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qFormat="1"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1160" w:firstLineChars="200"/>
      <w:jc w:val="both"/>
    </w:pPr>
    <w:rPr>
      <w:rFonts w:ascii="Times New Roman" w:hAnsi="Times New Roman" w:eastAsia="仿宋_GB2312" w:cs="Times New Roman"/>
      <w:kern w:val="2"/>
      <w:sz w:val="28"/>
      <w:szCs w:val="22"/>
      <w:lang w:val="en-US" w:eastAsia="zh-CN" w:bidi="ar-SA"/>
    </w:rPr>
  </w:style>
  <w:style w:type="paragraph" w:styleId="3">
    <w:name w:val="heading 1"/>
    <w:basedOn w:val="1"/>
    <w:next w:val="1"/>
    <w:link w:val="18"/>
    <w:qFormat/>
    <w:uiPriority w:val="0"/>
    <w:pPr>
      <w:keepNext/>
      <w:keepLines/>
      <w:spacing w:before="340" w:after="330" w:line="578" w:lineRule="auto"/>
      <w:outlineLvl w:val="0"/>
    </w:pPr>
    <w:rPr>
      <w:rFonts w:eastAsia="黑体"/>
      <w:b/>
      <w:bCs/>
      <w:kern w:val="44"/>
      <w:sz w:val="32"/>
      <w:szCs w:val="44"/>
    </w:rPr>
  </w:style>
  <w:style w:type="paragraph" w:styleId="4">
    <w:name w:val="heading 2"/>
    <w:basedOn w:val="1"/>
    <w:next w:val="1"/>
    <w:link w:val="19"/>
    <w:qFormat/>
    <w:uiPriority w:val="9"/>
    <w:pPr>
      <w:keepNext/>
      <w:keepLines/>
      <w:spacing w:before="260" w:after="260" w:line="440" w:lineRule="exact"/>
      <w:outlineLvl w:val="1"/>
    </w:pPr>
    <w:rPr>
      <w:b/>
      <w:bCs/>
      <w:szCs w:val="32"/>
    </w:rPr>
  </w:style>
  <w:style w:type="paragraph" w:styleId="5">
    <w:name w:val="heading 3"/>
    <w:basedOn w:val="1"/>
    <w:next w:val="1"/>
    <w:link w:val="20"/>
    <w:qFormat/>
    <w:uiPriority w:val="9"/>
    <w:pPr>
      <w:keepNext/>
      <w:keepLines/>
      <w:spacing w:before="260" w:after="260" w:line="360" w:lineRule="exact"/>
      <w:outlineLvl w:val="2"/>
    </w:pPr>
    <w:rPr>
      <w:bCs/>
      <w:szCs w:val="32"/>
    </w:rPr>
  </w:style>
  <w:style w:type="paragraph" w:styleId="6">
    <w:name w:val="heading 4"/>
    <w:basedOn w:val="1"/>
    <w:next w:val="1"/>
    <w:link w:val="21"/>
    <w:qFormat/>
    <w:uiPriority w:val="9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Cs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2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toc 3"/>
    <w:basedOn w:val="1"/>
    <w:next w:val="1"/>
    <w:qFormat/>
    <w:uiPriority w:val="39"/>
    <w:pPr>
      <w:ind w:left="840" w:leftChars="400"/>
    </w:pPr>
  </w:style>
  <w:style w:type="paragraph" w:styleId="8">
    <w:name w:val="Balloon Text"/>
    <w:basedOn w:val="1"/>
    <w:link w:val="17"/>
    <w:qFormat/>
    <w:uiPriority w:val="0"/>
    <w:rPr>
      <w:sz w:val="18"/>
      <w:szCs w:val="18"/>
    </w:rPr>
  </w:style>
  <w:style w:type="paragraph" w:styleId="9">
    <w:name w:val="header"/>
    <w:basedOn w:val="1"/>
    <w:link w:val="2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unhideWhenUsed/>
    <w:qFormat/>
    <w:uiPriority w:val="39"/>
    <w:pPr>
      <w:spacing w:before="120" w:after="120"/>
      <w:jc w:val="left"/>
    </w:pPr>
    <w:rPr>
      <w:b/>
      <w:bCs/>
      <w:caps/>
      <w:szCs w:val="20"/>
    </w:rPr>
  </w:style>
  <w:style w:type="paragraph" w:styleId="11">
    <w:name w:val="table of figures"/>
    <w:basedOn w:val="1"/>
    <w:next w:val="1"/>
    <w:qFormat/>
    <w:uiPriority w:val="0"/>
    <w:pPr>
      <w:ind w:left="200" w:leftChars="200" w:hanging="200" w:hangingChars="200"/>
    </w:pPr>
  </w:style>
  <w:style w:type="paragraph" w:styleId="12">
    <w:name w:val="toc 2"/>
    <w:basedOn w:val="1"/>
    <w:next w:val="1"/>
    <w:unhideWhenUsed/>
    <w:qFormat/>
    <w:uiPriority w:val="39"/>
    <w:pPr>
      <w:ind w:left="210"/>
      <w:jc w:val="left"/>
    </w:pPr>
    <w:rPr>
      <w:smallCaps/>
      <w:sz w:val="24"/>
      <w:szCs w:val="20"/>
    </w:rPr>
  </w:style>
  <w:style w:type="table" w:styleId="14">
    <w:name w:val="Table Grid"/>
    <w:basedOn w:val="1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6">
    <w:name w:val="Hyperlink"/>
    <w:unhideWhenUsed/>
    <w:qFormat/>
    <w:uiPriority w:val="99"/>
    <w:rPr>
      <w:color w:val="0000FF"/>
      <w:u w:val="single"/>
    </w:rPr>
  </w:style>
  <w:style w:type="character" w:customStyle="1" w:styleId="17">
    <w:name w:val="批注框文本 字符"/>
    <w:basedOn w:val="15"/>
    <w:link w:val="8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8">
    <w:name w:val="标题 1 字符"/>
    <w:basedOn w:val="15"/>
    <w:link w:val="3"/>
    <w:qFormat/>
    <w:uiPriority w:val="0"/>
    <w:rPr>
      <w:rFonts w:ascii="Calibri" w:hAnsi="Calibri" w:eastAsia="黑体"/>
      <w:b/>
      <w:bCs/>
      <w:kern w:val="44"/>
      <w:sz w:val="32"/>
      <w:szCs w:val="44"/>
    </w:rPr>
  </w:style>
  <w:style w:type="character" w:customStyle="1" w:styleId="19">
    <w:name w:val="标题 2 字符"/>
    <w:basedOn w:val="15"/>
    <w:link w:val="4"/>
    <w:qFormat/>
    <w:uiPriority w:val="9"/>
    <w:rPr>
      <w:rFonts w:ascii="Times New Roman" w:hAnsi="Times New Roman" w:eastAsia="仿宋_GB2312"/>
      <w:b/>
      <w:bCs/>
      <w:kern w:val="2"/>
      <w:sz w:val="28"/>
      <w:szCs w:val="32"/>
    </w:rPr>
  </w:style>
  <w:style w:type="character" w:customStyle="1" w:styleId="20">
    <w:name w:val="标题 3 字符"/>
    <w:basedOn w:val="15"/>
    <w:link w:val="5"/>
    <w:qFormat/>
    <w:uiPriority w:val="9"/>
    <w:rPr>
      <w:rFonts w:ascii="Calibri" w:hAnsi="Calibri" w:eastAsia="仿宋_GB2312"/>
      <w:bCs/>
      <w:kern w:val="2"/>
      <w:sz w:val="28"/>
      <w:szCs w:val="32"/>
    </w:rPr>
  </w:style>
  <w:style w:type="character" w:customStyle="1" w:styleId="21">
    <w:name w:val="标题 4 字符"/>
    <w:basedOn w:val="15"/>
    <w:link w:val="6"/>
    <w:qFormat/>
    <w:uiPriority w:val="9"/>
    <w:rPr>
      <w:rFonts w:ascii="Cambria" w:hAnsi="Cambria"/>
      <w:b/>
      <w:bCs/>
      <w:kern w:val="2"/>
      <w:sz w:val="28"/>
      <w:szCs w:val="28"/>
    </w:rPr>
  </w:style>
  <w:style w:type="paragraph" w:customStyle="1" w:styleId="22">
    <w:name w:val="TOC 标题1"/>
    <w:basedOn w:val="3"/>
    <w:next w:val="1"/>
    <w:semiHidden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2E75B6" w:themeColor="accent1" w:themeShade="BF"/>
      <w:kern w:val="0"/>
      <w:sz w:val="28"/>
      <w:szCs w:val="28"/>
    </w:rPr>
  </w:style>
  <w:style w:type="paragraph" w:customStyle="1" w:styleId="23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24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character" w:customStyle="1" w:styleId="25">
    <w:name w:val="style41"/>
    <w:basedOn w:val="15"/>
    <w:qFormat/>
    <w:uiPriority w:val="0"/>
    <w:rPr>
      <w:sz w:val="18"/>
    </w:rPr>
  </w:style>
  <w:style w:type="paragraph" w:customStyle="1" w:styleId="26">
    <w:name w:val="msolistparagraph"/>
    <w:basedOn w:val="1"/>
    <w:qFormat/>
    <w:uiPriority w:val="0"/>
    <w:pPr>
      <w:ind w:firstLine="420"/>
    </w:pPr>
    <w:rPr>
      <w:rFonts w:ascii="Calibri" w:hAnsi="Calibri" w:eastAsia="宋体"/>
      <w:sz w:val="21"/>
    </w:rPr>
  </w:style>
  <w:style w:type="paragraph" w:customStyle="1" w:styleId="27">
    <w:name w:val="Table Paragraph"/>
    <w:basedOn w:val="1"/>
    <w:qFormat/>
    <w:uiPriority w:val="1"/>
    <w:pPr>
      <w:autoSpaceDE w:val="0"/>
      <w:autoSpaceDN w:val="0"/>
      <w:spacing w:line="240" w:lineRule="auto"/>
      <w:ind w:firstLine="0" w:firstLineChars="0"/>
      <w:jc w:val="left"/>
    </w:pPr>
    <w:rPr>
      <w:rFonts w:ascii="宋体" w:hAnsi="宋体" w:eastAsia="宋体" w:cs="宋体"/>
      <w:kern w:val="0"/>
      <w:sz w:val="22"/>
      <w:lang w:val="zh-CN" w:bidi="zh-CN"/>
    </w:rPr>
  </w:style>
  <w:style w:type="character" w:customStyle="1" w:styleId="28">
    <w:name w:val="页脚 字符"/>
    <w:basedOn w:val="15"/>
    <w:link w:val="2"/>
    <w:qFormat/>
    <w:uiPriority w:val="99"/>
    <w:rPr>
      <w:rFonts w:eastAsia="仿宋_GB2312"/>
      <w:kern w:val="2"/>
      <w:sz w:val="18"/>
      <w:szCs w:val="18"/>
    </w:rPr>
  </w:style>
  <w:style w:type="character" w:customStyle="1" w:styleId="29">
    <w:name w:val="页眉 字符"/>
    <w:basedOn w:val="15"/>
    <w:link w:val="9"/>
    <w:qFormat/>
    <w:uiPriority w:val="99"/>
    <w:rPr>
      <w:rFonts w:eastAsia="仿宋_GB2312"/>
      <w:kern w:val="2"/>
      <w:sz w:val="18"/>
      <w:szCs w:val="18"/>
    </w:rPr>
  </w:style>
  <w:style w:type="paragraph" w:styleId="30">
    <w:name w:val="List Paragraph"/>
    <w:basedOn w:val="1"/>
    <w:qFormat/>
    <w:uiPriority w:val="99"/>
    <w:pPr>
      <w:ind w:firstLine="420"/>
    </w:pPr>
  </w:style>
  <w:style w:type="paragraph" w:customStyle="1" w:styleId="31">
    <w:name w:val="表格"/>
    <w:basedOn w:val="1"/>
    <w:qFormat/>
    <w:uiPriority w:val="0"/>
    <w:pPr>
      <w:adjustRightInd w:val="0"/>
      <w:snapToGrid w:val="0"/>
      <w:jc w:val="center"/>
    </w:pPr>
    <w:rPr>
      <w:rFonts w:hint="eastAsia" w:ascii="仿宋_GB2312" w:hAnsi="仿宋_GB2312" w:eastAsia="仿宋_GB2312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numbering" Target="numbering.xml"/><Relationship Id="rId15" Type="http://schemas.openxmlformats.org/officeDocument/2006/relationships/image" Target="media/image1.jpeg"/><Relationship Id="rId14" Type="http://schemas.openxmlformats.org/officeDocument/2006/relationships/theme" Target="theme/theme1.xml"/><Relationship Id="rId13" Type="http://schemas.openxmlformats.org/officeDocument/2006/relationships/footer" Target="footer5.xml"/><Relationship Id="rId12" Type="http://schemas.openxmlformats.org/officeDocument/2006/relationships/header" Target="header4.xml"/><Relationship Id="rId11" Type="http://schemas.openxmlformats.org/officeDocument/2006/relationships/footer" Target="footer4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3E636E-9AED-417C-BF79-032C6A13973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36</Pages>
  <Words>3445</Words>
  <Characters>3565</Characters>
  <Lines>15</Lines>
  <Paragraphs>5</Paragraphs>
  <TotalTime>9</TotalTime>
  <ScaleCrop>false</ScaleCrop>
  <LinksUpToDate>false</LinksUpToDate>
  <CharactersWithSpaces>3642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2024-07-04T08:12:00Z</dcterms:created>
  <dc:creator>玄冰石</dc:creator>
  <cp:lastModifiedBy>高灿烈</cp:lastModifiedBy>
  <cp:lastPrinted>2024-07-02T05:20:00Z</cp:lastPrinted>
  <dcterms:modified xsi:type="dcterms:W3CDTF">2025-08-19T15:44:01Z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74D85C4984144724AD9DA142B9184FE5_13</vt:lpwstr>
  </property>
  <property fmtid="{D5CDD505-2E9C-101B-9397-08002B2CF9AE}" pid="4" name="KSOTemplateDocerSaveRecord">
    <vt:lpwstr>eyJoZGlkIjoiM2FiZDIzMjBhYjY3YjcwYmIxYWI1NjM4YzVmYjEyMDMiLCJ1c2VySWQiOiIyOTUwNDQ0MDMifQ==</vt:lpwstr>
  </property>
</Properties>
</file>