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8" w:lineRule="atLeast"/>
        <w:ind w:right="0"/>
        <w:jc w:val="left"/>
        <w:textAlignment w:val="baseline"/>
        <w:rPr>
          <w:rFonts w:hint="eastAsia" w:ascii="仿宋_GB2312" w:hAnsi="仿宋_GB2312" w:eastAsia="仿宋_GB2312" w:cs="仿宋_GB2312"/>
          <w:i w:val="0"/>
          <w:iCs w:val="0"/>
          <w:caps w:val="0"/>
          <w:color w:val="000000" w:themeColor="text1"/>
          <w:spacing w:val="0"/>
          <w:sz w:val="32"/>
          <w:szCs w:val="32"/>
          <w:shd w:val="clear" w:fill="FFFFFF"/>
          <w:vertAlign w:val="baseline"/>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vertAlign w:val="baseline"/>
          <w:lang w:val="en-US" w:eastAsia="zh-CN"/>
          <w14:textFill>
            <w14:solidFill>
              <w14:schemeClr w14:val="tx1"/>
            </w14:solidFill>
          </w14:textFill>
        </w:rPr>
        <w:t>附件：</w:t>
      </w:r>
      <w:bookmarkStart w:id="30" w:name="_GoBack"/>
      <w:bookmarkEnd w:id="3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8" w:lineRule="atLeast"/>
        <w:ind w:right="0" w:firstLine="1320" w:firstLineChars="300"/>
        <w:jc w:val="center"/>
        <w:textAlignment w:val="baseline"/>
        <w:rPr>
          <w:rFonts w:hint="eastAsia" w:ascii="方正小标宋简体" w:hAnsi="方正小标宋简体" w:eastAsia="方正小标宋简体" w:cs="方正小标宋简体"/>
          <w:i w:val="0"/>
          <w:iCs w:val="0"/>
          <w:caps w:val="0"/>
          <w:color w:val="000000" w:themeColor="text1"/>
          <w:spacing w:val="0"/>
          <w:sz w:val="44"/>
          <w:szCs w:val="44"/>
          <w:shd w:val="clear" w:fill="FFFFFF"/>
          <w:vertAlign w:val="baseline"/>
          <w:lang w:val="en-US" w:eastAsia="zh-CN"/>
          <w14:textFill>
            <w14:solidFill>
              <w14:schemeClr w14:val="tx1"/>
            </w14:solidFill>
          </w14:textFill>
        </w:rPr>
      </w:pPr>
      <w:r>
        <w:rPr>
          <w:rFonts w:hint="eastAsia" w:ascii="方正小标宋简体" w:hAnsi="方正小标宋简体" w:eastAsia="方正小标宋简体" w:cs="方正小标宋简体"/>
          <w:i w:val="0"/>
          <w:iCs w:val="0"/>
          <w:caps w:val="0"/>
          <w:color w:val="000000" w:themeColor="text1"/>
          <w:spacing w:val="0"/>
          <w:sz w:val="44"/>
          <w:szCs w:val="44"/>
          <w:shd w:val="clear" w:fill="FFFFFF"/>
          <w:vertAlign w:val="baseline"/>
          <w14:textFill>
            <w14:solidFill>
              <w14:schemeClr w14:val="tx1"/>
            </w14:solidFill>
          </w14:textFill>
        </w:rPr>
        <w:t>贵州传媒职业学院-智能财务共享服务平台二期项目</w:t>
      </w:r>
      <w:r>
        <w:rPr>
          <w:rFonts w:hint="eastAsia" w:ascii="方正小标宋简体" w:hAnsi="方正小标宋简体" w:eastAsia="方正小标宋简体" w:cs="方正小标宋简体"/>
          <w:i w:val="0"/>
          <w:iCs w:val="0"/>
          <w:caps w:val="0"/>
          <w:color w:val="000000" w:themeColor="text1"/>
          <w:spacing w:val="0"/>
          <w:sz w:val="44"/>
          <w:szCs w:val="44"/>
          <w:shd w:val="clear" w:fill="FFFFFF"/>
          <w:vertAlign w:val="baseline"/>
          <w:lang w:val="en-US" w:eastAsia="zh-CN"/>
          <w14:textFill>
            <w14:solidFill>
              <w14:schemeClr w14:val="tx1"/>
            </w14:solidFill>
          </w14:textFill>
        </w:rPr>
        <w:t>建设内容</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0" w:name="_Toc86932067"/>
      <w:bookmarkStart w:id="1" w:name="_Toc28915"/>
      <w:bookmarkStart w:id="2" w:name="_Toc8654"/>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1.资金计划审批系统</w:t>
      </w:r>
      <w:bookmarkEnd w:id="0"/>
      <w:bookmarkEnd w:id="1"/>
      <w:bookmarkEnd w:id="2"/>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管控关口前移的经费申请，是建立事前申请，降低财务风险，落实内部控制的手段。</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资金收支贯穿财务管理的整个过程。在对资金收支的管控中，对于经费的申请、审批管理是其中的管控核心。</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经费申请系统主要用于贵州传媒职业学院各项经费使用前的请款环节，衔接预算的分配和预算的执行，在预算的分配和预算的执行过程中起到承上启下、事中监督控制的作用。</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该系统将经费申请（请款）的工作下放至科室和部门，由预算使用科室或部门根据实际应用需求，参照预算执行进度，在已分析的预算指标额度内的控制下，发起经费申请，将业务控制点提到业务发生之前，实现事前控制，把各种支出控制在各种规章制度要求的范围内，避免超预算、不合规等事件的发生，大大降低财务风险。</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经费申请系统主要满足事前控制的需要，在业务发生前，事项经办部门进行事项的申请，经领导审批后通过后才能进行借款及用款。</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通过对重点项目或超出一定金额的支出履行事前审批管理，实行一事一批。系统要能够实现与预算指标、网上报销等系统的对接，审批过程中可自动提示预算剩余数额与比例，超预算时自动给予报警，提醒或禁止。</w:t>
      </w:r>
    </w:p>
    <w:p>
      <w:pPr>
        <w:pStyle w:val="6"/>
        <w:numPr>
          <w:ilvl w:val="3"/>
          <w:numId w:val="0"/>
        </w:numPr>
        <w:ind w:leftChars="0" w:firstLine="640" w:firstLineChars="200"/>
        <w:outlineLvl w:val="3"/>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3" w:name="_Toc63526870"/>
      <w:bookmarkStart w:id="4" w:name="_Toc69830374"/>
      <w:bookmarkStart w:id="5" w:name="_Toc20808"/>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1.1系统设置</w:t>
      </w:r>
      <w:bookmarkEnd w:id="3"/>
      <w:bookmarkEnd w:id="4"/>
      <w:bookmarkEnd w:id="5"/>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系统能够提供参数设置、审批流程的自定义、单据要素的自定义、单据模板（即审批单样式）的自定义等功能。</w:t>
      </w:r>
    </w:p>
    <w:p>
      <w:pPr>
        <w:pStyle w:val="6"/>
        <w:numPr>
          <w:ilvl w:val="3"/>
          <w:numId w:val="0"/>
        </w:numPr>
        <w:ind w:leftChars="0" w:firstLine="640" w:firstLineChars="200"/>
        <w:outlineLvl w:val="3"/>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6" w:name="_Toc69830375"/>
      <w:bookmarkStart w:id="7" w:name="_Toc63526871"/>
      <w:bookmarkStart w:id="8" w:name="_Toc25524"/>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1.2审批单填报</w:t>
      </w:r>
      <w:bookmarkEnd w:id="6"/>
      <w:bookmarkEnd w:id="7"/>
      <w:bookmarkEnd w:id="8"/>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一般来说，重大的事项才需要事先请示。业务处室针对相关财务事项 “打报告”，填写申请单，选择预算项目、归口处室，填写金额、申请内容、备注等提交单据，依据预先设定的审核流程提交给相关的归口处室和部门进行审核。</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单据应支持根据单位实际情况自定义样式，可以体现预算控制，支持附件上传等功能。</w:t>
      </w:r>
    </w:p>
    <w:p>
      <w:pPr>
        <w:pStyle w:val="6"/>
        <w:numPr>
          <w:ilvl w:val="3"/>
          <w:numId w:val="0"/>
        </w:numPr>
        <w:ind w:leftChars="0" w:firstLine="640" w:firstLineChars="200"/>
        <w:outlineLvl w:val="3"/>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9" w:name="_Toc63526872"/>
      <w:bookmarkStart w:id="10" w:name="_Toc16787"/>
      <w:bookmarkStart w:id="11" w:name="_Toc69830376"/>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1.3审批单审批</w:t>
      </w:r>
      <w:bookmarkEnd w:id="9"/>
      <w:bookmarkEnd w:id="10"/>
      <w:bookmarkEnd w:id="11"/>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 xml:space="preserve"> </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审批单审批依据预先设定的审核流程提交给相关人员进行审核，应可以“批量审核”，也可以打开单据进行单张的审核。可以根据条件设置不同的审核流程。</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单据申请提交至审核人，审核人用户即可在线实时进行审核。涉及到支出业务，若是有财务审核角色，则财务审核人根据请示内容审核批准后，将其归入类、款、项、目，并自动占用相关预算指标额度，如不能批准，则退回申请部门。</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支持单位审批流程的自定义，可以依据金额大小走分支，审批单审批依据预先设定的审核流程提交给相关人员进行审核。审核通过后自动占用相关预算指标额度。</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系统应提供审批流程跟踪查询功能。</w:t>
      </w:r>
    </w:p>
    <w:p>
      <w:pPr>
        <w:pStyle w:val="6"/>
        <w:numPr>
          <w:ilvl w:val="3"/>
          <w:numId w:val="0"/>
        </w:numPr>
        <w:ind w:leftChars="0" w:firstLine="640" w:firstLineChars="200"/>
        <w:outlineLvl w:val="3"/>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12" w:name="_Toc63526873"/>
      <w:bookmarkStart w:id="13" w:name="_Toc16770"/>
      <w:bookmarkStart w:id="14" w:name="_Toc69830377"/>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1.4审批单查询</w:t>
      </w:r>
      <w:bookmarkEnd w:id="12"/>
      <w:bookmarkEnd w:id="13"/>
      <w:bookmarkEnd w:id="14"/>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提供审批单查询功能，便于各部门的业务人员及财务人员均能方便地查询。支持根据不同筛选条件，查询申请单信息。</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15" w:name="_Toc2250"/>
      <w:bookmarkStart w:id="16" w:name="_Toc2918"/>
      <w:bookmarkStart w:id="17" w:name="_Toc86932069"/>
      <w:bookmarkStart w:id="18" w:name="_Toc85312438"/>
      <w:bookmarkStart w:id="19" w:name="_Toc17175"/>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2.电子票夹</w:t>
      </w:r>
      <w:bookmarkEnd w:id="15"/>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2.1通过电子票夹实现电子票据/发票智能采集/登记</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支持PC、APP端的电子票据夹进行对原始发票（电子发票、纸质票据等）智能收集，对增值税发票、火车票、航空行程单、出租车票、定额发票的智能图像识别、获取票面数据，直接录入到网上报销系统中，提供PC、APP端票夹在线和离线数据同步。</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支持扫码采集、图像识别、本地文件上传、手工采集等多种票据采集方式。</w:t>
      </w:r>
    </w:p>
    <w:p>
      <w:pPr>
        <w:pStyle w:val="6"/>
        <w:numPr>
          <w:ilvl w:val="3"/>
          <w:numId w:val="0"/>
        </w:numPr>
        <w:ind w:leftChars="0" w:firstLine="640" w:firstLineChars="200"/>
        <w:outlineLvl w:val="3"/>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2.2对各类票据进行分类管理</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纸质原始凭证拍照、扫描，同时支持单票据、多票据切割识别，分类管理。</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发票自动切割、票据自动分类、按发票类型自动识别发票信息、要素。</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支持的票据种类上，要能够支持：增值税发票、火车票、机票行程单、出租车票、停车票、定额发票、客运车船票和医疗收费单等。对于发票扫描及拍照后，系统能够实现发票自动切割、票据自动分类、按照票种所有字段进行识别并带入发票信息、要素，并将识别信息自动录入。</w:t>
      </w:r>
    </w:p>
    <w:p>
      <w:pPr>
        <w:pStyle w:val="6"/>
        <w:numPr>
          <w:ilvl w:val="3"/>
          <w:numId w:val="0"/>
        </w:numPr>
        <w:ind w:leftChars="0" w:firstLine="640" w:firstLineChars="200"/>
        <w:outlineLvl w:val="3"/>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20" w:name="_Toc107990293"/>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2.3支持手工上传电子文件或影像文件进行票据归集，个人票据实现自动验重</w:t>
      </w:r>
      <w:bookmarkEnd w:id="20"/>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系统支持手工上传电子文件或影像文件进行票据归集，提供个人票据实现自动验重，能够自动强制性验证发票是否重复，如果存在重复，则不允许进行单据保存。通过提供的发票验真验重功能，减轻财务工作量，防控风险。</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21" w:name="_Toc21744"/>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3.票据识别及验真</w:t>
      </w:r>
      <w:bookmarkEnd w:id="16"/>
      <w:bookmarkEnd w:id="17"/>
      <w:bookmarkEnd w:id="18"/>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（OCR票据识别公有云服务）</w:t>
      </w:r>
      <w:bookmarkEnd w:id="21"/>
    </w:p>
    <w:p>
      <w:pPr>
        <w:pStyle w:val="5"/>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3.1  2020年3月，财政部、国家档案局发布（财会〔2020〕6号）文件《关于规范电子会计凭证报销入账归档的通知》（以下简称《通知》），《通知》重点围绕电子会计凭证报销入账归</w:t>
      </w: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档的合法性、规范性，提出具体要求。</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文件要求如下：</w:t>
      </w:r>
    </w:p>
    <w:p>
      <w:pPr>
        <w:numPr>
          <w:ilvl w:val="0"/>
          <w:numId w:val="0"/>
        </w:numPr>
        <w:ind w:firstLine="640" w:firstLineChars="20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3.1.1来源合法、真实的电子会计凭证与纸质会计凭证具有同等法律效力；</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解读：强调电子发票的法律效力，任何单位和个人无特殊理由不得拒收。</w:t>
      </w:r>
    </w:p>
    <w:p>
      <w:pPr>
        <w:numPr>
          <w:ilvl w:val="0"/>
          <w:numId w:val="0"/>
        </w:numPr>
        <w:ind w:firstLine="640" w:firstLineChars="20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3.1.2.接收的电子会计凭证经查验做到合法、真实，且对电子会计凭证的任何篡改能够及时被发现；</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解读：财务要对电子发票的合法性、真实性要进行查验，很多单位会计并不查验电子发票真伪，或者把查验这个工作转移给了报销人，发票出了问题财务一样要承担责任。</w:t>
      </w:r>
    </w:p>
    <w:p>
      <w:pPr>
        <w:numPr>
          <w:ilvl w:val="0"/>
          <w:numId w:val="0"/>
        </w:numPr>
        <w:ind w:firstLine="640" w:firstLineChars="20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3.1.3.使用的会计核算系统能够准确、完整、有效接收和读取电子会计凭证及其元数据，且能有效防止电子会计凭证重复入账；</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解读：对财务使用的会计核算系统提出了要求，且要能防止电子发票重复入账。</w:t>
      </w:r>
    </w:p>
    <w:p>
      <w:pPr>
        <w:numPr>
          <w:ilvl w:val="0"/>
          <w:numId w:val="0"/>
        </w:numPr>
        <w:ind w:firstLine="640" w:firstLineChars="20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3.1.4.电子会计凭证的归档及管理符合《会计档案管理办法》（财政部国家档案局令第79号）等要求；</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解读：对于电子发票的归档及管理同时参照《会计档案管理办法》的规定。</w:t>
      </w:r>
    </w:p>
    <w:p>
      <w:pPr>
        <w:numPr>
          <w:ilvl w:val="0"/>
          <w:numId w:val="0"/>
        </w:numPr>
        <w:ind w:firstLine="640" w:firstLineChars="20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3.1.5.单位以电子会计凭证的纸质打印件作为报销入账归档依据的，必须同时保存打印该纸质件的电子会计凭证；</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解读：单位报销入账归档时只以纸质打印文件作为唯一凭证是不允许的，同时要保存原件，电子发票原件与纸质发票原件才是原始凭证，才具备法律效力。</w:t>
      </w:r>
    </w:p>
    <w:p>
      <w:pPr>
        <w:numPr>
          <w:ilvl w:val="0"/>
          <w:numId w:val="0"/>
        </w:numPr>
        <w:ind w:firstLine="640" w:firstLineChars="20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3.1.6.通知发布之日起开始正式执行，违反规定要承担责任并接收法律法规的处罚。</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解读：《会计法》规定“未按照规定填制、取得原始凭证”对单位处三万元以上三十万元以下的罚款；可以对直接负责的主管人员和其他直接责任人员处一万元以上十万元以下的罚款；属于国家工作人员的，还可以由其所在单位或者有关单位依法给予行政处分。会计人员有前款行为，情节严重的，五年内不得从事会计工作。</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如何规范增值税电子发票的报销入账，保证贵州传媒职业学院财务部门接收的增值税电子发票真实、合法、不被篡改，避免重复入账、虚假入账、电子发票原始凭证能够安全存储，减轻贵州传媒职业学院会计基础工作的同时，防范管理漏洞，避免从业风险，是贵州传媒职业学院财务部门日常账务处理过程中亟需解决的问题。</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利用OCR智能识别技术，可以实现贵州传媒职业学院智能报销，通过对电子发票的上传、解析、采集/登记、原件保存、验真、验重、使用，对各个管理节点进行流程化、规范化管理，有效解决新政策规范下贵州传媒职业学院财务部门对于电子发票的管理要求，实现电子发票管理工作更便捷、高效、规范，提高财务工作效率，规避财务人员从业风险。</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利用OCR人工智能识别技术可以极速实现多张票据信息采集，实现自动生成报销单（机票行程单、火车票、增值税发票、纸质发票、合同等发票附件），提升用户体验、快速高效帮助贵州传媒职业学院人员处理报销填报过程和真伪验证，并根据提取信息自动计算票据金额等，显著降低了人工审核风险，另外，自动化线上流转审批打破了时空限制，也避免了跨校区签字以及负责人出差需等候签字的问题。</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系统实现人机融合的智能化报销，通过智能化手段简化报销全流程业务操作，采用智能OCR识别，报销人可以轻松实现：拍照/选择文件、识别、制单一键自动填写到报销单据上，有效解决网上报销录入的最后一公里。与此同时，通过OCR智能识别服务，有效实现对于各类票据的查验真伪。</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系统能够通过OCR智能识别验真服务，根据识别字段匹配，自动对接税局系统（财务要能够联外网），自动进行发票真伪查验，并返回验真结果给财务部门。</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22" w:name="_Toc22430"/>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3.2通过个人电子票据夹实现电子票据/发票智能采集/登记：</w:t>
      </w:r>
      <w:bookmarkEnd w:id="22"/>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3.2.1支持PC端的原始发票（电子发票、纸质票据等）收集/登记，提供PC端票夹在线和离线数据同步。</w:t>
      </w:r>
    </w:p>
    <w:p>
      <w:pPr>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3.2.2支持扫码采集、图像识别、本地文件上传、手工采集等多种票据采集方式。</w:t>
      </w:r>
    </w:p>
    <w:p>
      <w:pPr>
        <w:ind w:firstLine="560"/>
        <w:rPr>
          <w:rFonts w:hint="eastAsia" w:ascii="仿宋_GB2312" w:hAnsi="仿宋_GB2312" w:eastAsia="仿宋_GB2312" w:cs="仿宋_GB2312"/>
          <w:color w:val="FF0000"/>
          <w:sz w:val="32"/>
          <w:szCs w:val="32"/>
          <w:lang w:val="en-US"/>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3.2.3纸质原始凭证--拍照、扫描，同时支持单票据、多票据切割识别。</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3.2.4电子发票--直接附件上传。</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3.2.5发票OCR智能识别，自动提取并保存票面信息（即票据元数据）。</w:t>
      </w:r>
    </w:p>
    <w:p>
      <w:pPr>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3.2.6对增值税发票、火车票、航空行程单、出租车票、定额发票的智能图像识别、获取票面数据，直接录入到网上报销系统中。</w:t>
      </w:r>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23" w:name="_Toc15375"/>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3.3个人票据实现智能自动验真</w:t>
      </w:r>
      <w:bookmarkEnd w:id="23"/>
    </w:p>
    <w:p>
      <w:pPr>
        <w:ind w:firstLine="56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能够对增值税发票自动验真，对于验真结果进行反馈到网上报销系统。</w:t>
      </w:r>
    </w:p>
    <w:p>
      <w:pPr>
        <w:ind w:firstLine="640" w:firstLineChars="200"/>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24" w:name="_Toc8645"/>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3.4个人票据实现自动验重</w:t>
      </w:r>
      <w:bookmarkEnd w:id="24"/>
    </w:p>
    <w:p>
      <w:pPr>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bookmarkStart w:id="25" w:name="_Toc85312441"/>
      <w:bookmarkStart w:id="26" w:name="_Toc86932071"/>
      <w:bookmarkStart w:id="27" w:name="_Toc161219117"/>
      <w:bookmarkStart w:id="28" w:name="_Toc13934"/>
      <w:bookmarkStart w:id="29" w:name="_Toc119945550"/>
      <w:r>
        <w:rPr>
          <w:rFonts w:hint="eastAsia" w:ascii="仿宋_GB2312" w:hAnsi="仿宋_GB2312" w:eastAsia="仿宋_GB2312" w:cs="仿宋_GB2312"/>
          <w:color w:val="FF0000"/>
          <w:kern w:val="2"/>
          <w:sz w:val="32"/>
          <w:szCs w:val="32"/>
          <w:lang w:val="en-US" w:eastAsia="zh-CN" w:bidi="ar-SA"/>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对个人票据在报销时进行验重管理，对于重复票据不能向网上报销系统生成报销单据。</w:t>
      </w:r>
      <w:bookmarkEnd w:id="19"/>
      <w:bookmarkEnd w:id="25"/>
      <w:bookmarkEnd w:id="26"/>
      <w:bookmarkEnd w:id="27"/>
      <w:bookmarkEnd w:id="28"/>
      <w:bookmarkEnd w:id="29"/>
    </w:p>
    <w:p>
      <w:pPr>
        <w:pStyle w:val="5"/>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(4)</w:t>
      </w: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除以上提出需求应以标准成熟产品满足外，还应在进一步业务调研与需求梳理分析中，由承建供应商满足个性化需要，并提供所需的业务梳理、需求分析、功能规划、产品开发与实施部署，使学校的管理特性得以通过定制化开发的方式实现合规化管控与便捷化使用，并进一步提升我校财务服务能力，满足高校师生多方的个性化需求。</w:t>
      </w:r>
    </w:p>
    <w:p>
      <w:pPr>
        <w:pStyle w:val="5"/>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本系统需要基于学校实际情况提供如下定制化开发部分：</w:t>
      </w:r>
    </w:p>
    <w:p>
      <w:pPr>
        <w:pStyle w:val="5"/>
        <w:ind w:firstLine="560"/>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4.</w:t>
      </w: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w:t>
      </w: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能够与原智能财务平台中指标、报销系统实现无缝对接。</w:t>
      </w:r>
    </w:p>
    <w:p>
      <w:pPr>
        <w:pStyle w:val="5"/>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4.2.</w:t>
      </w: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实现和学校大门户统一集成单点登陆模式。</w:t>
      </w:r>
    </w:p>
    <w:p>
      <w:pPr>
        <w:pStyle w:val="5"/>
        <w:ind w:firstLine="560"/>
        <w:rPr>
          <w:rFonts w:hint="eastAsia" w:ascii="仿宋_GB2312" w:hAnsi="仿宋_GB2312" w:eastAsia="仿宋_GB2312" w:cs="仿宋_GB2312"/>
          <w:color w:val="FF0000"/>
          <w:sz w:val="32"/>
          <w:szCs w:val="32"/>
          <w:lang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4.3</w:t>
      </w: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.与“校内门户认证系统”连接，用户只需要在“校园门户网站”上登录一次</w:t>
      </w:r>
      <w:r>
        <w:rPr>
          <w:rFonts w:hint="eastAsia" w:ascii="仿宋_GB2312" w:hAnsi="仿宋_GB2312" w:eastAsia="仿宋_GB2312" w:cs="仿宋_GB2312"/>
          <w:color w:val="FF0000"/>
          <w:sz w:val="32"/>
          <w:szCs w:val="32"/>
          <w:lang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w:t>
      </w:r>
    </w:p>
    <w:p>
      <w:pPr>
        <w:pStyle w:val="5"/>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针对本系统的各个接口，务必充分分析接口设计的场景、必要性，确保每个接口都是由于真实的需要进行设计，避免出现多余的接口，不仅会增大系统设计的复杂度，同时会直接影响到系统交互的压力，带来性能问题。</w:t>
      </w:r>
    </w:p>
    <w:p>
      <w:pPr>
        <w:pStyle w:val="5"/>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虽然根据连接的类型不同接口类型也不一样，但所有接口类型传递的数据格式都是统一的，使用同一套数据规范。</w:t>
      </w:r>
    </w:p>
    <w:p>
      <w:pPr>
        <w:pStyle w:val="5"/>
        <w:ind w:firstLine="560"/>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本系统需要接通接口包括校内门户认证系统及账务综合服务集成校内用户登录认证信息。</w:t>
      </w:r>
    </w:p>
    <w:p>
      <w:pPr>
        <w:pStyle w:val="5"/>
        <w:ind w:firstLine="560"/>
        <w:rPr>
          <w:rFonts w:hint="eastAsia" w:ascii="仿宋_GB2312" w:hAnsi="仿宋_GB2312" w:eastAsia="仿宋_GB2312" w:cs="仿宋_GB2312"/>
          <w:i w:val="0"/>
          <w:iCs w:val="0"/>
          <w:caps w:val="0"/>
          <w:color w:val="FF0000"/>
          <w:spacing w:val="0"/>
          <w:sz w:val="32"/>
          <w:szCs w:val="32"/>
          <w:shd w:val="clear" w:fill="FFFFFF"/>
          <w:vertAlign w:val="baseline"/>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pPr>
      <w:r>
        <w:rPr>
          <w:rFonts w:hint="eastAsia" w:ascii="仿宋_GB2312" w:hAnsi="仿宋_GB2312" w:eastAsia="仿宋_GB2312" w:cs="仿宋_GB2312"/>
          <w:color w:val="FF0000"/>
          <w:sz w:val="32"/>
          <w:szCs w:val="32"/>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4.4.二期系统需要与学院目前使用一期的用友GRP-A++ Cloud政府财务云内控管理软件V8.30无缝衔接，价格包含实施费用、接口费用与上线后一年的运维服务费用，</w:t>
      </w:r>
      <w:r>
        <w:rPr>
          <w:rFonts w:hint="eastAsia" w:ascii="仿宋_GB2312" w:hAnsi="仿宋_GB2312" w:eastAsia="仿宋_GB2312" w:cs="仿宋_GB2312"/>
          <w:sz w:val="32"/>
          <w:szCs w:val="32"/>
          <w:highlight w:val="none"/>
          <w:lang w:val="en-US" w:eastAsia="zh-CN"/>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后续服务费及运维服务费根据双方协商，费用应在一定优惠基础上签订，且验收后五年内服务费及运维服务费不能上涨。</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E77AA7"/>
    <w:multiLevelType w:val="multilevel"/>
    <w:tmpl w:val="5BE77AA7"/>
    <w:lvl w:ilvl="0" w:tentative="0">
      <w:start w:val="1"/>
      <w:numFmt w:val="decimal"/>
      <w:lvlText w:val="%1."/>
      <w:lvlJc w:val="left"/>
      <w:pPr>
        <w:ind w:left="0" w:firstLine="0"/>
      </w:pPr>
      <w:rPr>
        <w:rFonts w:hint="eastAsia"/>
        <w:b/>
        <w:i w:val="0"/>
        <w:sz w:val="28"/>
      </w:rPr>
    </w:lvl>
    <w:lvl w:ilvl="1" w:tentative="0">
      <w:start w:val="1"/>
      <w:numFmt w:val="decimal"/>
      <w:lvlText w:val="%1.%2."/>
      <w:lvlJc w:val="left"/>
      <w:pPr>
        <w:ind w:left="0" w:firstLine="0"/>
      </w:pPr>
      <w:rPr>
        <w:rFonts w:hint="eastAsia"/>
        <w:sz w:val="28"/>
      </w:rPr>
    </w:lvl>
    <w:lvl w:ilvl="2" w:tentative="0">
      <w:start w:val="1"/>
      <w:numFmt w:val="decimal"/>
      <w:pStyle w:val="7"/>
      <w:lvlText w:val="%1.%2.%3."/>
      <w:lvlJc w:val="left"/>
      <w:pPr>
        <w:ind w:left="0" w:firstLine="0"/>
      </w:pPr>
      <w:rPr>
        <w:rFonts w:hint="eastAsia"/>
        <w:sz w:val="28"/>
      </w:rPr>
    </w:lvl>
    <w:lvl w:ilvl="3" w:tentative="0">
      <w:start w:val="1"/>
      <w:numFmt w:val="decimal"/>
      <w:pStyle w:val="6"/>
      <w:lvlText w:val="%1.%2.%3.%4."/>
      <w:lvlJc w:val="left"/>
      <w:pPr>
        <w:ind w:left="0" w:firstLine="0"/>
      </w:pPr>
      <w:rPr>
        <w:rFonts w:hint="eastAsia"/>
        <w:sz w:val="28"/>
      </w:rPr>
    </w:lvl>
    <w:lvl w:ilvl="4" w:tentative="0">
      <w:start w:val="1"/>
      <w:numFmt w:val="decimal"/>
      <w:lvlText w:val="%1.%2.%3.%4.%5."/>
      <w:lvlJc w:val="left"/>
      <w:pPr>
        <w:ind w:left="0" w:firstLine="0"/>
      </w:pPr>
      <w:rPr>
        <w:rFonts w:hint="eastAsia"/>
        <w:sz w:val="28"/>
      </w:rPr>
    </w:lvl>
    <w:lvl w:ilvl="5" w:tentative="0">
      <w:start w:val="1"/>
      <w:numFmt w:val="decimal"/>
      <w:lvlText w:val="%1.%2.%3.%4.%5.%6"/>
      <w:lvlJc w:val="left"/>
      <w:pPr>
        <w:ind w:left="0" w:firstLine="0"/>
      </w:pPr>
      <w:rPr>
        <w:rFonts w:hint="eastAsia"/>
        <w:sz w:val="28"/>
      </w:rPr>
    </w:lvl>
    <w:lvl w:ilvl="6" w:tentative="0">
      <w:start w:val="1"/>
      <w:numFmt w:val="decimal"/>
      <w:lvlText w:val="%1.%2.%3.%4.%5.%6.%7"/>
      <w:lvlJc w:val="left"/>
      <w:pPr>
        <w:ind w:left="0" w:firstLine="0"/>
      </w:pPr>
      <w:rPr>
        <w:rFonts w:hint="eastAsia"/>
        <w:sz w:val="28"/>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D7576D"/>
    <w:rsid w:val="73D757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5">
    <w:name w:val="标准正文"/>
    <w:qFormat/>
    <w:uiPriority w:val="0"/>
    <w:pPr>
      <w:ind w:firstLine="200" w:firstLineChars="200"/>
    </w:pPr>
    <w:rPr>
      <w:rFonts w:eastAsia="仿宋" w:asciiTheme="minorHAnsi" w:hAnsiTheme="minorHAnsi" w:cstheme="minorBidi"/>
      <w:kern w:val="2"/>
      <w:sz w:val="28"/>
      <w:szCs w:val="22"/>
      <w:lang w:val="en-US" w:eastAsia="zh-CN" w:bidi="ar-SA"/>
    </w:rPr>
  </w:style>
  <w:style w:type="paragraph" w:customStyle="1" w:styleId="6">
    <w:name w:val="4级标题"/>
    <w:basedOn w:val="7"/>
    <w:next w:val="5"/>
    <w:qFormat/>
    <w:uiPriority w:val="0"/>
    <w:pPr>
      <w:numPr>
        <w:ilvl w:val="3"/>
      </w:numPr>
      <w:outlineLvl w:val="3"/>
    </w:pPr>
  </w:style>
  <w:style w:type="paragraph" w:customStyle="1" w:styleId="7">
    <w:name w:val="3级标题"/>
    <w:basedOn w:val="5"/>
    <w:next w:val="5"/>
    <w:qFormat/>
    <w:uiPriority w:val="0"/>
    <w:pPr>
      <w:numPr>
        <w:ilvl w:val="2"/>
        <w:numId w:val="1"/>
      </w:numPr>
      <w:ind w:firstLineChars="0"/>
      <w:outlineLvl w:val="2"/>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Office_11.8.6.11829_F1E327BC-269C-435d-A152-05C5408002CA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2025-11-03T01:20:00Z</dcterms:created>
  <dc:creator>GX-JCK</dc:creator>
  <cp:lastModifiedBy>GX-JCK</cp:lastModifiedBy>
  <dcterms:modified xsi:type="dcterms:W3CDTF">2025-11-03T01:28:00Z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2052-11.8.6.11829</vt:lpwstr>
  </property>
  <property fmtid="{D5CDD505-2E9C-101B-9397-08002B2CF9AE}" pid="3" name="ICV">
    <vt:lpwstr>E1E72BDC7FE6400C8EAE9F4C454F7D3A</vt:lpwstr>
  </property>
</Properties>
</file>