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lang w:eastAsia="zh-CN"/>
        </w:rPr>
      </w:pPr>
      <w:r>
        <mc:AlternateContent>
          <mc:Choice Requires="wps">
            <w:drawing>
              <wp:anchor distT="0" distB="0" distL="114300" distR="114300" simplePos="0" relativeHeight="251659264" behindDoc="1" locked="0" layoutInCell="1" allowOverlap="1">
                <wp:simplePos x="0" y="0"/>
                <wp:positionH relativeFrom="column">
                  <wp:posOffset>-76200</wp:posOffset>
                </wp:positionH>
                <wp:positionV relativeFrom="page">
                  <wp:posOffset>857885</wp:posOffset>
                </wp:positionV>
                <wp:extent cx="5488305" cy="1820545"/>
                <wp:effectExtent l="0" t="0" r="17145" b="8255"/>
                <wp:wrapNone/>
                <wp:docPr id="2" name="文本框 2"/>
                <wp:cNvGraphicFramePr/>
                <a:graphic xmlns:a="http://schemas.openxmlformats.org/drawingml/2006/main">
                  <a:graphicData uri="http://schemas.microsoft.com/office/word/2010/wordprocessingShape">
                    <wps:wsp>
                      <wps:cNvSpPr txBox="1"/>
                      <wps:spPr>
                        <a:xfrm>
                          <a:off x="0" y="0"/>
                          <a:ext cx="5488305" cy="1820545"/>
                        </a:xfrm>
                        <a:prstGeom prst="rect">
                          <a:avLst/>
                        </a:prstGeom>
                        <a:solidFill>
                          <a:schemeClr val="bg1"/>
                        </a:solid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kinsoku w:val="0"/>
                              <w:wordWrap/>
                              <w:overflowPunct/>
                              <w:topLinePunct w:val="0"/>
                              <w:autoSpaceDE w:val="0"/>
                              <w:autoSpaceDN w:val="0"/>
                              <w:bidi w:val="0"/>
                              <w:adjustRightInd w:val="0"/>
                              <w:snapToGrid w:val="0"/>
                              <w:spacing w:line="219" w:lineRule="auto"/>
                              <w:jc w:val="distribute"/>
                              <w:textAlignment w:val="baseline"/>
                              <w:outlineLvl w:val="0"/>
                              <w:rPr>
                                <w:rFonts w:hint="eastAsia" w:ascii="方正小标宋_GBK" w:hAnsi="方正小标宋_GBK" w:eastAsia="方正小标宋_GBK" w:cs="方正小标宋_GBK"/>
                                <w:b w:val="0"/>
                                <w:bCs/>
                                <w:color w:val="FF0000"/>
                                <w:spacing w:val="0"/>
                                <w:w w:val="80"/>
                                <w:sz w:val="112"/>
                                <w:szCs w:val="112"/>
                                <w:lang w:val="en-US" w:eastAsia="zh-CN"/>
                              </w:rPr>
                            </w:pPr>
                            <w:bookmarkStart w:id="1" w:name="OLE_LINK1"/>
                            <w:bookmarkStart w:id="2" w:name="OLE_LINK3"/>
                            <w:r>
                              <w:rPr>
                                <w:rFonts w:hint="eastAsia" w:ascii="方正小标宋_GBK" w:hAnsi="方正小标宋_GBK" w:eastAsia="方正小标宋_GBK" w:cs="方正小标宋_GBK"/>
                                <w:b w:val="0"/>
                                <w:bCs/>
                                <w:color w:val="FF0000"/>
                                <w:spacing w:val="0"/>
                                <w:w w:val="80"/>
                                <w:sz w:val="112"/>
                                <w:szCs w:val="112"/>
                              </w:rPr>
                              <w:t>贵州</w:t>
                            </w:r>
                            <w:r>
                              <w:rPr>
                                <w:rFonts w:hint="eastAsia" w:ascii="方正小标宋_GBK" w:hAnsi="方正小标宋_GBK" w:eastAsia="方正小标宋_GBK" w:cs="方正小标宋_GBK"/>
                                <w:b w:val="0"/>
                                <w:bCs/>
                                <w:color w:val="FF0000"/>
                                <w:spacing w:val="0"/>
                                <w:w w:val="80"/>
                                <w:sz w:val="112"/>
                                <w:szCs w:val="112"/>
                                <w:lang w:val="en-US" w:eastAsia="zh-CN"/>
                              </w:rPr>
                              <w:t>传媒职业学院</w:t>
                            </w:r>
                            <w:bookmarkEnd w:id="1"/>
                            <w:bookmarkEnd w:id="2"/>
                          </w:p>
                          <w:p>
                            <w:pPr>
                              <w:keepNext w:val="0"/>
                              <w:keepLines w:val="0"/>
                              <w:pageBreakBefore w:val="0"/>
                              <w:widowControl/>
                              <w:kinsoku w:val="0"/>
                              <w:wordWrap/>
                              <w:overflowPunct/>
                              <w:topLinePunct w:val="0"/>
                              <w:autoSpaceDE w:val="0"/>
                              <w:autoSpaceDN w:val="0"/>
                              <w:bidi w:val="0"/>
                              <w:adjustRightInd w:val="0"/>
                              <w:snapToGrid w:val="0"/>
                              <w:spacing w:line="219" w:lineRule="auto"/>
                              <w:jc w:val="distribute"/>
                              <w:textAlignment w:val="baseline"/>
                              <w:outlineLvl w:val="0"/>
                              <w:rPr>
                                <w:rFonts w:hint="default" w:ascii="方正小标宋_GBK" w:hAnsi="方正小标宋_GBK" w:eastAsia="方正小标宋_GBK" w:cs="方正小标宋_GBK"/>
                                <w:b w:val="0"/>
                                <w:bCs/>
                                <w:color w:val="FF0000"/>
                                <w:spacing w:val="-57"/>
                                <w:w w:val="55"/>
                                <w:sz w:val="144"/>
                                <w:szCs w:val="144"/>
                                <w:lang w:val="en-US" w:eastAsia="zh-CN"/>
                              </w:rPr>
                            </w:pPr>
                            <w:r>
                              <w:rPr>
                                <w:rFonts w:hint="eastAsia" w:ascii="方正小标宋_GBK" w:hAnsi="方正小标宋_GBK" w:eastAsia="方正小标宋_GBK" w:cs="方正小标宋_GBK"/>
                                <w:b w:val="0"/>
                                <w:bCs/>
                                <w:color w:val="FF0000"/>
                                <w:spacing w:val="0"/>
                                <w:w w:val="80"/>
                                <w:sz w:val="96"/>
                                <w:szCs w:val="96"/>
                                <w:lang w:val="en-US" w:eastAsia="zh-CN"/>
                              </w:rPr>
                              <w:t>对外合作与交流办公室</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pt;margin-top:67.55pt;height:143.35pt;width:432.15pt;mso-position-vertical-relative:page;z-index:-251657216;mso-width-relative:page;mso-height-relative:page;" fillcolor="#FFFFFF [3212]" filled="t" stroked="f" coordsize="21600,21600" o:gfxdata="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KvLf99YAAAALAQAADwAA&#10;AAAAAAABACAAAAAiAAAAZHJzL2Rvd25yZXYueG1sUEsBAhQAFAAAAAgAh07iQKs3hMdRAgAAkAQA&#10;AA4AAAAAAAAAAQAgAAAAJQEAAGRycy9lMm9Eb2MueG1sUEsFBgAAAAAGAAYAWQEAAOgFAAAAAA==&#10;">
                <v:fill on="t" focussize="0,0"/>
                <v:stroke on="f" weight="0.5pt"/>
                <v:imagedata o:title=""/>
                <o:lock v:ext="edit" aspectratio="f"/>
                <v:textbox>
                  <w:txbxContent>
                    <w:p>
                      <w:pPr>
                        <w:keepNext w:val="0"/>
                        <w:keepLines w:val="0"/>
                        <w:pageBreakBefore w:val="0"/>
                        <w:widowControl/>
                        <w:kinsoku w:val="0"/>
                        <w:wordWrap/>
                        <w:overflowPunct/>
                        <w:topLinePunct w:val="0"/>
                        <w:autoSpaceDE w:val="0"/>
                        <w:autoSpaceDN w:val="0"/>
                        <w:bidi w:val="0"/>
                        <w:adjustRightInd w:val="0"/>
                        <w:snapToGrid w:val="0"/>
                        <w:spacing w:line="219" w:lineRule="auto"/>
                        <w:jc w:val="distribute"/>
                        <w:textAlignment w:val="baseline"/>
                        <w:outlineLvl w:val="0"/>
                        <w:rPr>
                          <w:rFonts w:hint="eastAsia" w:ascii="方正小标宋_GBK" w:hAnsi="方正小标宋_GBK" w:eastAsia="方正小标宋_GBK" w:cs="方正小标宋_GBK"/>
                          <w:b w:val="0"/>
                          <w:bCs/>
                          <w:color w:val="FF0000"/>
                          <w:spacing w:val="0"/>
                          <w:w w:val="80"/>
                          <w:sz w:val="112"/>
                          <w:szCs w:val="112"/>
                          <w:lang w:val="en-US" w:eastAsia="zh-CN"/>
                        </w:rPr>
                      </w:pPr>
                      <w:bookmarkStart w:id="1" w:name="OLE_LINK1"/>
                      <w:bookmarkStart w:id="2" w:name="OLE_LINK3"/>
                      <w:r>
                        <w:rPr>
                          <w:rFonts w:hint="eastAsia" w:ascii="方正小标宋_GBK" w:hAnsi="方正小标宋_GBK" w:eastAsia="方正小标宋_GBK" w:cs="方正小标宋_GBK"/>
                          <w:b w:val="0"/>
                          <w:bCs/>
                          <w:color w:val="FF0000"/>
                          <w:spacing w:val="0"/>
                          <w:w w:val="80"/>
                          <w:sz w:val="112"/>
                          <w:szCs w:val="112"/>
                        </w:rPr>
                        <w:t>贵州</w:t>
                      </w:r>
                      <w:r>
                        <w:rPr>
                          <w:rFonts w:hint="eastAsia" w:ascii="方正小标宋_GBK" w:hAnsi="方正小标宋_GBK" w:eastAsia="方正小标宋_GBK" w:cs="方正小标宋_GBK"/>
                          <w:b w:val="0"/>
                          <w:bCs/>
                          <w:color w:val="FF0000"/>
                          <w:spacing w:val="0"/>
                          <w:w w:val="80"/>
                          <w:sz w:val="112"/>
                          <w:szCs w:val="112"/>
                          <w:lang w:val="en-US" w:eastAsia="zh-CN"/>
                        </w:rPr>
                        <w:t>传媒职业学院</w:t>
                      </w:r>
                      <w:bookmarkEnd w:id="1"/>
                      <w:bookmarkEnd w:id="2"/>
                    </w:p>
                    <w:p>
                      <w:pPr>
                        <w:keepNext w:val="0"/>
                        <w:keepLines w:val="0"/>
                        <w:pageBreakBefore w:val="0"/>
                        <w:widowControl/>
                        <w:kinsoku w:val="0"/>
                        <w:wordWrap/>
                        <w:overflowPunct/>
                        <w:topLinePunct w:val="0"/>
                        <w:autoSpaceDE w:val="0"/>
                        <w:autoSpaceDN w:val="0"/>
                        <w:bidi w:val="0"/>
                        <w:adjustRightInd w:val="0"/>
                        <w:snapToGrid w:val="0"/>
                        <w:spacing w:line="219" w:lineRule="auto"/>
                        <w:jc w:val="distribute"/>
                        <w:textAlignment w:val="baseline"/>
                        <w:outlineLvl w:val="0"/>
                        <w:rPr>
                          <w:rFonts w:hint="default" w:ascii="方正小标宋_GBK" w:hAnsi="方正小标宋_GBK" w:eastAsia="方正小标宋_GBK" w:cs="方正小标宋_GBK"/>
                          <w:b w:val="0"/>
                          <w:bCs/>
                          <w:color w:val="FF0000"/>
                          <w:spacing w:val="-57"/>
                          <w:w w:val="55"/>
                          <w:sz w:val="144"/>
                          <w:szCs w:val="144"/>
                          <w:lang w:val="en-US" w:eastAsia="zh-CN"/>
                        </w:rPr>
                      </w:pPr>
                      <w:r>
                        <w:rPr>
                          <w:rFonts w:hint="eastAsia" w:ascii="方正小标宋_GBK" w:hAnsi="方正小标宋_GBK" w:eastAsia="方正小标宋_GBK" w:cs="方正小标宋_GBK"/>
                          <w:b w:val="0"/>
                          <w:bCs/>
                          <w:color w:val="FF0000"/>
                          <w:spacing w:val="0"/>
                          <w:w w:val="80"/>
                          <w:sz w:val="96"/>
                          <w:szCs w:val="96"/>
                          <w:lang w:val="en-US" w:eastAsia="zh-CN"/>
                        </w:rPr>
                        <w:t>对外合作与交流办公室</w:t>
                      </w:r>
                    </w:p>
                  </w:txbxContent>
                </v:textbox>
              </v:shape>
            </w:pict>
          </mc:Fallback>
        </mc:AlternateContent>
      </w:r>
    </w:p>
    <w:p>
      <w:pPr>
        <w:rPr>
          <w:rFonts w:hint="eastAsia"/>
          <w:lang w:eastAsia="zh-CN"/>
        </w:rPr>
      </w:pPr>
    </w:p>
    <w:p>
      <w:pPr>
        <w:rPr>
          <w:rFonts w:hint="eastAsia"/>
          <w:lang w:eastAsia="zh-CN"/>
        </w:rPr>
      </w:pPr>
    </w:p>
    <w:p>
      <w:pPr>
        <w:rPr>
          <w:rFonts w:hint="eastAsia"/>
          <w:lang w:eastAsia="zh-CN"/>
        </w:rPr>
      </w:pPr>
    </w:p>
    <w:p>
      <w:pPr>
        <w:rPr>
          <w:rFonts w:hint="eastAsia"/>
          <w:lang w:eastAsia="zh-CN"/>
        </w:rPr>
      </w:pPr>
    </w:p>
    <w:p>
      <w:pPr>
        <w:rPr>
          <w:rFonts w:hint="eastAsia"/>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mc:AlternateContent>
          <mc:Choice Requires="wps">
            <w:drawing>
              <wp:anchor distT="0" distB="0" distL="114300" distR="114300" simplePos="0" relativeHeight="251660288" behindDoc="0" locked="0" layoutInCell="1" allowOverlap="1">
                <wp:simplePos x="0" y="0"/>
                <wp:positionH relativeFrom="column">
                  <wp:posOffset>-211455</wp:posOffset>
                </wp:positionH>
                <wp:positionV relativeFrom="page">
                  <wp:posOffset>2679700</wp:posOffset>
                </wp:positionV>
                <wp:extent cx="5694045" cy="8255"/>
                <wp:effectExtent l="0" t="3810" r="1905" b="26035"/>
                <wp:wrapNone/>
                <wp:docPr id="1" name="直接箭头连接符 1"/>
                <wp:cNvGraphicFramePr/>
                <a:graphic xmlns:a="http://schemas.openxmlformats.org/drawingml/2006/main">
                  <a:graphicData uri="http://schemas.microsoft.com/office/word/2010/wordprocessingShape">
                    <wps:wsp>
                      <wps:cNvCnPr/>
                      <wps:spPr>
                        <a:xfrm flipH="1" flipV="1">
                          <a:off x="0" y="0"/>
                          <a:ext cx="5694045" cy="8255"/>
                        </a:xfrm>
                        <a:prstGeom prst="straightConnector1">
                          <a:avLst/>
                        </a:prstGeom>
                        <a:ln w="41275" cap="flat" cmpd="sng">
                          <a:solidFill>
                            <a:srgbClr val="FF0000"/>
                          </a:solidFill>
                          <a:prstDash val="solid"/>
                          <a:miter/>
                          <a:headEnd type="none" w="med" len="med"/>
                          <a:tailEnd type="none" w="med" len="med"/>
                        </a:ln>
                      </wps:spPr>
                      <wps:bodyPr/>
                    </wps:wsp>
                  </a:graphicData>
                </a:graphic>
              </wp:anchor>
            </w:drawing>
          </mc:Choice>
          <mc:Fallback>
            <w:pict>
              <v:shape id="_x0000_s1026" o:spid="_x0000_s1026" o:spt="32" type="#_x0000_t32" style="position:absolute;left:0pt;flip:x y;margin-left:-16.65pt;margin-top:211pt;height:0.65pt;width:448.35pt;mso-position-vertical-relative:page;z-index:251660288;mso-width-relative:page;mso-height-relative:page;" filled="f" stroked="t" coordsize="21600,21600" o:gfxdata="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ENc0r9gAAAALAQAADwAAAAAA&#10;AAABACAAAAAiAAAAZHJzL2Rvd25yZXYueG1sUEsBAhQAFAAAAAgAh07iQG5Q2mUTAgAADgQAAA4A&#10;AAAAAAAAAQAgAAAAJwEAAGRycy9lMm9Eb2MueG1sUEsFBgAAAAAGAAYAWQEAAKwFAAAAAA==&#10;">
                <v:fill on="f" focussize="0,0"/>
                <v:stroke weight="3.25pt" color="#FF0000" joinstyle="miter"/>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bookmarkStart w:id="3" w:name="_GoBack"/>
      <w:bookmarkStart w:id="0" w:name="OLE_LINK2"/>
      <w:r>
        <w:rPr>
          <w:rFonts w:hint="eastAsia" w:ascii="方正小标宋简体" w:hAnsi="方正小标宋简体" w:eastAsia="方正小标宋简体" w:cs="方正小标宋简体"/>
          <w:sz w:val="44"/>
          <w:szCs w:val="44"/>
        </w:rPr>
        <w:t>关于组织参加2025年贵州省高等院校教师国际中文教育教学能力提升暨《国际中文教师证书》标准课程培训的通知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仿宋_GB2312" w:hAnsi="方正仿宋_GB2312" w:eastAsia="方正仿宋_GB2312" w:cs="方正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2312" w:cs="Times New Roman"/>
          <w:sz w:val="32"/>
          <w:szCs w:val="32"/>
        </w:rPr>
      </w:pPr>
      <w:r>
        <w:rPr>
          <w:rFonts w:hint="default" w:ascii="Times New Roman" w:hAnsi="Times New Roman" w:eastAsia="方正仿宋_GB2312" w:cs="Times New Roman"/>
          <w:sz w:val="32"/>
          <w:szCs w:val="32"/>
        </w:rPr>
        <w:t>各</w:t>
      </w:r>
      <w:r>
        <w:rPr>
          <w:rFonts w:hint="eastAsia" w:ascii="Times New Roman" w:hAnsi="Times New Roman" w:eastAsia="方正仿宋_GB2312" w:cs="Times New Roman"/>
          <w:sz w:val="32"/>
          <w:szCs w:val="32"/>
          <w:lang w:val="en-US" w:eastAsia="zh-CN"/>
        </w:rPr>
        <w:t>系（部）</w:t>
      </w:r>
      <w:r>
        <w:rPr>
          <w:rFonts w:hint="default" w:ascii="Times New Roman" w:hAnsi="Times New Roman" w:eastAsia="方正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default" w:ascii="Times New Roman" w:hAnsi="Times New Roman" w:eastAsia="方正仿宋_GB2312" w:cs="Times New Roman"/>
          <w:sz w:val="32"/>
          <w:szCs w:val="32"/>
        </w:rPr>
        <w:t>为深入贯彻落实国家关于推动国际中文教育事业高质量发展的战略部署，提升我校教师国际中文教育教学能力与专业素养，助力学校国际化发展，现转发</w:t>
      </w:r>
      <w:r>
        <w:rPr>
          <w:rFonts w:hint="eastAsia" w:ascii="Times New Roman" w:hAnsi="Times New Roman" w:eastAsia="方正仿宋_GB2312" w:cs="Times New Roman"/>
          <w:sz w:val="32"/>
          <w:szCs w:val="32"/>
          <w:lang w:eastAsia="zh-CN"/>
        </w:rPr>
        <w:t>《</w:t>
      </w:r>
      <w:r>
        <w:rPr>
          <w:rFonts w:hint="default" w:ascii="Times New Roman" w:hAnsi="Times New Roman" w:eastAsia="方正仿宋_GB2312" w:cs="Times New Roman"/>
          <w:sz w:val="32"/>
          <w:szCs w:val="32"/>
        </w:rPr>
        <w:t>关于举办2025年贵州省高等院校教师国际中文教育教学能力提升暨</w:t>
      </w:r>
      <w:r>
        <w:rPr>
          <w:rFonts w:hint="eastAsia" w:ascii="Times New Roman" w:hAnsi="Times New Roman" w:eastAsia="方正仿宋_GB2312" w:cs="Times New Roman"/>
          <w:sz w:val="32"/>
          <w:szCs w:val="32"/>
          <w:lang w:val="en-US" w:eastAsia="zh-CN"/>
        </w:rPr>
        <w:t>&lt;</w:t>
      </w:r>
      <w:r>
        <w:rPr>
          <w:rFonts w:hint="default" w:ascii="Times New Roman" w:hAnsi="Times New Roman" w:eastAsia="方正仿宋_GB2312" w:cs="Times New Roman"/>
          <w:sz w:val="32"/>
          <w:szCs w:val="32"/>
        </w:rPr>
        <w:t>国际中文教师证书</w:t>
      </w:r>
      <w:r>
        <w:rPr>
          <w:rFonts w:hint="eastAsia" w:ascii="Times New Roman" w:hAnsi="Times New Roman" w:eastAsia="方正仿宋_GB2312" w:cs="Times New Roman"/>
          <w:sz w:val="32"/>
          <w:szCs w:val="32"/>
          <w:lang w:val="en-US" w:eastAsia="zh-CN"/>
        </w:rPr>
        <w:t>&gt;</w:t>
      </w:r>
      <w:r>
        <w:rPr>
          <w:rFonts w:hint="default" w:ascii="Times New Roman" w:hAnsi="Times New Roman" w:eastAsia="方正仿宋_GB2312" w:cs="Times New Roman"/>
          <w:sz w:val="32"/>
          <w:szCs w:val="32"/>
        </w:rPr>
        <w:t>标准课程培训的通知》</w:t>
      </w:r>
      <w:r>
        <w:rPr>
          <w:rFonts w:hint="eastAsia" w:ascii="Times New Roman" w:hAnsi="Times New Roman" w:eastAsia="方正仿宋_GB2312" w:cs="Times New Roman"/>
          <w:sz w:val="32"/>
          <w:szCs w:val="32"/>
          <w:lang w:eastAsia="zh-CN"/>
        </w:rPr>
        <w:t>，</w:t>
      </w:r>
      <w:r>
        <w:rPr>
          <w:rFonts w:hint="default" w:ascii="Times New Roman" w:hAnsi="Times New Roman" w:eastAsia="方正仿宋_GB2312" w:cs="Times New Roman"/>
          <w:sz w:val="32"/>
          <w:szCs w:val="32"/>
        </w:rPr>
        <w:t>并将有关事项通知如下：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一、培训目标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default" w:ascii="Times New Roman" w:hAnsi="Times New Roman" w:eastAsia="方正仿宋_GB2312" w:cs="Times New Roman"/>
          <w:sz w:val="32"/>
          <w:szCs w:val="32"/>
        </w:rPr>
        <w:t>本次培训以《国际中文教育中文水平等级标准》及《国际中文教师专业能力标准》为指导，旨在提升教师的国际中文教育教学能力、跨文化交际能力及“中文+职业技能”融合教学能力，助力教师持证上岗，服务学校国际化发展战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sz w:val="32"/>
          <w:szCs w:val="32"/>
          <w:lang w:val="en-US" w:eastAsia="zh-CN"/>
        </w:rPr>
      </w:pPr>
      <w:r>
        <w:rPr>
          <w:rFonts w:hint="default" w:ascii="黑体" w:hAnsi="黑体" w:eastAsia="黑体" w:cs="黑体"/>
          <w:sz w:val="32"/>
          <w:szCs w:val="32"/>
        </w:rPr>
        <w:t>二、培训对象</w:t>
      </w:r>
      <w:r>
        <w:rPr>
          <w:rFonts w:hint="eastAsia" w:ascii="黑体" w:hAnsi="黑体" w:eastAsia="黑体" w:cs="黑体"/>
          <w:sz w:val="32"/>
          <w:szCs w:val="32"/>
          <w:lang w:val="en-US" w:eastAsia="zh-CN"/>
        </w:rPr>
        <w:t>及要求</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imes New Roman" w:hAnsi="Times New Roman" w:eastAsia="方正仿宋_GB2312" w:cs="Times New Roman"/>
          <w:sz w:val="32"/>
          <w:szCs w:val="32"/>
          <w:lang w:eastAsia="zh-CN"/>
        </w:rPr>
      </w:pPr>
      <w:r>
        <w:rPr>
          <w:sz w:val="24"/>
          <w:szCs w:val="32"/>
        </w:rPr>
        <mc:AlternateContent>
          <mc:Choice Requires="wps">
            <w:drawing>
              <wp:anchor distT="0" distB="0" distL="114300" distR="114300" simplePos="0" relativeHeight="251661312" behindDoc="0" locked="0" layoutInCell="1" allowOverlap="1">
                <wp:simplePos x="0" y="0"/>
                <wp:positionH relativeFrom="column">
                  <wp:posOffset>-177800</wp:posOffset>
                </wp:positionH>
                <wp:positionV relativeFrom="paragraph">
                  <wp:posOffset>904240</wp:posOffset>
                </wp:positionV>
                <wp:extent cx="5683250" cy="10160"/>
                <wp:effectExtent l="0" t="25400" r="12700" b="40640"/>
                <wp:wrapNone/>
                <wp:docPr id="5" name="直接箭头连接符 5"/>
                <wp:cNvGraphicFramePr/>
                <a:graphic xmlns:a="http://schemas.openxmlformats.org/drawingml/2006/main">
                  <a:graphicData uri="http://schemas.microsoft.com/office/word/2010/wordprocessingShape">
                    <wps:wsp>
                      <wps:cNvCnPr/>
                      <wps:spPr>
                        <a:xfrm flipH="1" flipV="1">
                          <a:off x="0" y="0"/>
                          <a:ext cx="5683250" cy="10160"/>
                        </a:xfrm>
                        <a:prstGeom prst="straightConnector1">
                          <a:avLst/>
                        </a:prstGeom>
                        <a:ln w="50800" cap="flat" cmpd="thickThin">
                          <a:solidFill>
                            <a:srgbClr val="FF0000"/>
                          </a:solidFill>
                          <a:prstDash val="solid"/>
                          <a:miter/>
                          <a:headEnd type="none" w="med" len="med"/>
                          <a:tailEnd type="none" w="med" len="med"/>
                        </a:ln>
                      </wps:spPr>
                      <wps:bodyPr/>
                    </wps:wsp>
                  </a:graphicData>
                </a:graphic>
              </wp:anchor>
            </w:drawing>
          </mc:Choice>
          <mc:Fallback>
            <w:pict>
              <v:shape id="_x0000_s1026" o:spid="_x0000_s1026" o:spt="32" type="#_x0000_t32" style="position:absolute;left:0pt;flip:x y;margin-left:-14pt;margin-top:71.2pt;height:0.8pt;width:447.5pt;z-index:251661312;mso-width-relative:page;mso-height-relative:page;" filled="f" stroked="t" coordsize="21600,21600" o:gfxdata="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ouguM1QAAAAsBAAAPAAAA&#10;AAAAAAEAIAAAACIAAABkcnMvZG93bnJldi54bWxQSwECFAAUAAAACACHTuJAVFQYQhgCAAAVBAAA&#10;DgAAAAAAAAABACAAAAAkAQAAZHJzL2Uyb0RvYy54bWxQSwUGAAAAAAYABgBZAQAArgUAAAAA&#10;">
                <v:fill on="f" focussize="0,0"/>
                <v:stroke weight="4pt" color="#FF0000" linestyle="thickThin" joinstyle="miter"/>
                <v:imagedata o:title=""/>
                <o:lock v:ext="edit" aspectratio="f"/>
              </v:shape>
            </w:pict>
          </mc:Fallback>
        </mc:AlternateContent>
      </w:r>
      <w:r>
        <w:rPr>
          <w:rFonts w:hint="default" w:ascii="Times New Roman" w:hAnsi="Times New Roman" w:eastAsia="方正仿宋_GB2312" w:cs="Times New Roman"/>
          <w:sz w:val="32"/>
          <w:szCs w:val="32"/>
          <w:lang w:val="en-US" w:eastAsia="zh-CN"/>
        </w:rPr>
        <w:t>1</w:t>
      </w:r>
      <w:r>
        <w:rPr>
          <w:rFonts w:hint="default" w:ascii="Times New Roman" w:hAnsi="Times New Roman" w:eastAsia="方正仿宋_GB2312" w:cs="Times New Roman"/>
          <w:sz w:val="32"/>
          <w:szCs w:val="32"/>
        </w:rPr>
        <w:t>.各专业骨干教师</w:t>
      </w:r>
      <w:r>
        <w:rPr>
          <w:rFonts w:hint="eastAsia" w:ascii="Times New Roman" w:hAnsi="Times New Roman" w:eastAsia="方正仿宋_GB2312" w:cs="Times New Roman"/>
          <w:sz w:val="32"/>
          <w:szCs w:val="32"/>
          <w:lang w:eastAsia="zh-CN"/>
        </w:rPr>
        <w:t>，</w:t>
      </w:r>
      <w:r>
        <w:rPr>
          <w:rFonts w:hint="default" w:ascii="Times New Roman" w:hAnsi="Times New Roman" w:eastAsia="方正仿宋_GB2312" w:cs="Times New Roman"/>
          <w:sz w:val="32"/>
          <w:szCs w:val="32"/>
        </w:rPr>
        <w:t>优先</w:t>
      </w:r>
      <w:r>
        <w:rPr>
          <w:rFonts w:hint="eastAsia" w:ascii="Times New Roman" w:hAnsi="Times New Roman" w:eastAsia="方正仿宋_GB2312" w:cs="Times New Roman"/>
          <w:sz w:val="32"/>
          <w:szCs w:val="32"/>
          <w:lang w:val="en-US" w:eastAsia="zh-CN"/>
        </w:rPr>
        <w:t>推荐有发展</w:t>
      </w:r>
      <w:r>
        <w:rPr>
          <w:rFonts w:hint="default" w:ascii="Times New Roman" w:hAnsi="Times New Roman" w:eastAsia="方正仿宋_GB2312" w:cs="Times New Roman"/>
          <w:sz w:val="32"/>
          <w:szCs w:val="32"/>
        </w:rPr>
        <w:t>潜力</w:t>
      </w:r>
      <w:r>
        <w:rPr>
          <w:rFonts w:hint="eastAsia" w:ascii="Times New Roman" w:hAnsi="Times New Roman" w:eastAsia="方正仿宋_GB2312" w:cs="Times New Roman"/>
          <w:sz w:val="32"/>
          <w:szCs w:val="32"/>
          <w:lang w:eastAsia="zh-CN"/>
        </w:rPr>
        <w:t>、</w:t>
      </w:r>
      <w:r>
        <w:rPr>
          <w:rFonts w:hint="eastAsia" w:ascii="Times New Roman" w:hAnsi="Times New Roman" w:eastAsia="方正仿宋_GB2312" w:cs="Times New Roman"/>
          <w:sz w:val="32"/>
          <w:szCs w:val="32"/>
          <w:lang w:val="en-US" w:eastAsia="zh-CN"/>
        </w:rPr>
        <w:t>能为学院</w:t>
      </w:r>
      <w:r>
        <w:rPr>
          <w:rFonts w:hint="default" w:ascii="Times New Roman" w:hAnsi="Times New Roman" w:eastAsia="方正仿宋_GB2312" w:cs="Times New Roman"/>
          <w:sz w:val="32"/>
          <w:szCs w:val="32"/>
        </w:rPr>
        <w:t>国际化</w:t>
      </w:r>
      <w:r>
        <w:rPr>
          <w:rFonts w:hint="eastAsia" w:ascii="Times New Roman" w:hAnsi="Times New Roman" w:eastAsia="方正仿宋_GB2312" w:cs="Times New Roman"/>
          <w:sz w:val="32"/>
          <w:szCs w:val="32"/>
          <w:lang w:val="en-US" w:eastAsia="zh-CN"/>
        </w:rPr>
        <w:t>办学提供支持</w:t>
      </w:r>
      <w:r>
        <w:rPr>
          <w:rFonts w:hint="default" w:ascii="Times New Roman" w:hAnsi="Times New Roman" w:eastAsia="方正仿宋_GB2312" w:cs="Times New Roman"/>
          <w:sz w:val="32"/>
          <w:szCs w:val="32"/>
        </w:rPr>
        <w:t>的教师</w:t>
      </w:r>
      <w:r>
        <w:rPr>
          <w:rFonts w:hint="eastAsia" w:ascii="Times New Roman" w:hAnsi="Times New Roman" w:eastAsia="方正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2312" w:cs="Times New Roman"/>
          <w:sz w:val="32"/>
          <w:szCs w:val="32"/>
          <w:lang w:eastAsia="zh-CN"/>
        </w:rPr>
      </w:pPr>
      <w:r>
        <w:rPr>
          <w:rFonts w:hint="default" w:ascii="Times New Roman" w:hAnsi="Times New Roman" w:eastAsia="方正仿宋_GB2312" w:cs="Times New Roman"/>
          <w:sz w:val="32"/>
          <w:szCs w:val="32"/>
          <w:lang w:val="en-US" w:eastAsia="zh-CN"/>
        </w:rPr>
        <w:t>2</w:t>
      </w:r>
      <w:r>
        <w:rPr>
          <w:rFonts w:hint="default" w:ascii="Times New Roman" w:hAnsi="Times New Roman" w:eastAsia="方正仿宋_GB2312" w:cs="Times New Roman"/>
          <w:sz w:val="32"/>
          <w:szCs w:val="32"/>
        </w:rPr>
        <w:t>.有意向从事国际中文教育工作，或有海外教学、交流外派需求的教师</w:t>
      </w:r>
      <w:r>
        <w:rPr>
          <w:rFonts w:hint="eastAsia" w:ascii="Times New Roman" w:hAnsi="Times New Roman" w:eastAsia="方正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default" w:ascii="Times New Roman" w:hAnsi="Times New Roman" w:eastAsia="方正仿宋_GB2312" w:cs="Times New Roman"/>
          <w:sz w:val="32"/>
          <w:szCs w:val="32"/>
          <w:lang w:val="en-US" w:eastAsia="zh-CN"/>
        </w:rPr>
        <w:t>3.需具备</w:t>
      </w:r>
      <w:r>
        <w:rPr>
          <w:rFonts w:hint="eastAsia" w:ascii="Times New Roman" w:hAnsi="Times New Roman" w:eastAsia="方正仿宋_GB2312" w:cs="Times New Roman"/>
          <w:sz w:val="32"/>
          <w:szCs w:val="32"/>
          <w:lang w:val="en-US" w:eastAsia="zh-CN"/>
        </w:rPr>
        <w:t>一定</w:t>
      </w:r>
      <w:r>
        <w:rPr>
          <w:rFonts w:hint="default" w:ascii="Times New Roman" w:hAnsi="Times New Roman" w:eastAsia="方正仿宋_GB2312" w:cs="Times New Roman"/>
          <w:sz w:val="32"/>
          <w:szCs w:val="32"/>
          <w:lang w:val="en-US" w:eastAsia="zh-CN"/>
        </w:rPr>
        <w:t>英语表达能力</w:t>
      </w:r>
      <w:r>
        <w:rPr>
          <w:rFonts w:hint="eastAsia" w:ascii="Times New Roman" w:hAnsi="Times New Roman" w:eastAsia="方正仿宋_GB2312" w:cs="Times New Roman"/>
          <w:sz w:val="32"/>
          <w:szCs w:val="32"/>
          <w:lang w:val="en-US" w:eastAsia="zh-CN"/>
        </w:rPr>
        <w:t>，</w:t>
      </w:r>
      <w:r>
        <w:rPr>
          <w:rFonts w:hint="default" w:ascii="Times New Roman" w:hAnsi="Times New Roman" w:eastAsia="方正仿宋_GB2312" w:cs="Times New Roman"/>
          <w:sz w:val="32"/>
          <w:szCs w:val="32"/>
          <w:lang w:val="en-US" w:eastAsia="zh-CN"/>
        </w:rPr>
        <w:t>能满足国际中文</w:t>
      </w:r>
      <w:r>
        <w:rPr>
          <w:rFonts w:hint="eastAsia" w:ascii="Times New Roman" w:hAnsi="Times New Roman" w:eastAsia="方正仿宋_GB2312" w:cs="Times New Roman"/>
          <w:sz w:val="32"/>
          <w:szCs w:val="32"/>
          <w:lang w:val="en-US" w:eastAsia="zh-CN"/>
        </w:rPr>
        <w:t>、海外教学等国际化</w:t>
      </w:r>
      <w:r>
        <w:rPr>
          <w:rFonts w:hint="default" w:ascii="Times New Roman" w:hAnsi="Times New Roman" w:eastAsia="方正仿宋_GB2312" w:cs="Times New Roman"/>
          <w:sz w:val="32"/>
          <w:szCs w:val="32"/>
          <w:lang w:val="en-US" w:eastAsia="zh-CN"/>
        </w:rPr>
        <w:t>教学需求。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sz w:val="32"/>
          <w:szCs w:val="32"/>
        </w:rPr>
      </w:pPr>
      <w:r>
        <w:rPr>
          <w:rFonts w:hint="default" w:ascii="黑体" w:hAnsi="黑体" w:eastAsia="黑体" w:cs="黑体"/>
          <w:sz w:val="32"/>
          <w:szCs w:val="32"/>
        </w:rPr>
        <w:t>三、培训内容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2312" w:cs="Times New Roman"/>
          <w:sz w:val="32"/>
          <w:szCs w:val="32"/>
          <w:lang w:eastAsia="zh-CN"/>
        </w:rPr>
      </w:pPr>
      <w:r>
        <w:rPr>
          <w:rFonts w:hint="default" w:ascii="Times New Roman" w:hAnsi="Times New Roman" w:eastAsia="方正仿宋_GB2312" w:cs="Times New Roman"/>
          <w:sz w:val="32"/>
          <w:szCs w:val="32"/>
        </w:rPr>
        <w:t>培训涵盖国际中文教育政策解读、语言学基础知识、教学法、教学设计、跨文化交际、真题解析、面试技巧等内容，并设有</w:t>
      </w:r>
      <w:r>
        <w:rPr>
          <w:rFonts w:hint="eastAsia" w:ascii="Times New Roman" w:hAnsi="Times New Roman" w:eastAsia="方正仿宋_GB2312" w:cs="Times New Roman"/>
          <w:sz w:val="32"/>
          <w:szCs w:val="32"/>
          <w:lang w:val="en-US" w:eastAsia="zh-CN"/>
        </w:rPr>
        <w:t>区域</w:t>
      </w:r>
      <w:r>
        <w:rPr>
          <w:rFonts w:hint="default" w:ascii="Times New Roman" w:hAnsi="Times New Roman" w:eastAsia="方正仿宋_GB2312" w:cs="Times New Roman"/>
          <w:sz w:val="32"/>
          <w:szCs w:val="32"/>
        </w:rPr>
        <w:t>国别</w:t>
      </w:r>
      <w:r>
        <w:rPr>
          <w:rFonts w:hint="eastAsia" w:ascii="Times New Roman" w:hAnsi="Times New Roman" w:eastAsia="方正仿宋_GB2312" w:cs="Times New Roman"/>
          <w:sz w:val="32"/>
          <w:szCs w:val="32"/>
          <w:lang w:val="en-US" w:eastAsia="zh-CN"/>
        </w:rPr>
        <w:t>研究</w:t>
      </w:r>
      <w:r>
        <w:rPr>
          <w:rFonts w:hint="default" w:ascii="Times New Roman" w:hAnsi="Times New Roman" w:eastAsia="方正仿宋_GB2312" w:cs="Times New Roman"/>
          <w:sz w:val="32"/>
          <w:szCs w:val="32"/>
        </w:rPr>
        <w:t>专题讲座。</w:t>
      </w:r>
      <w:r>
        <w:rPr>
          <w:rFonts w:hint="eastAsia" w:ascii="Times New Roman" w:hAnsi="Times New Roman" w:eastAsia="方正仿宋_GB2312" w:cs="Times New Roman"/>
          <w:sz w:val="32"/>
          <w:szCs w:val="32"/>
          <w:lang w:eastAsia="zh-CN"/>
        </w:rPr>
        <w:t>（</w:t>
      </w:r>
      <w:r>
        <w:rPr>
          <w:rFonts w:hint="eastAsia" w:ascii="Times New Roman" w:hAnsi="Times New Roman" w:eastAsia="方正仿宋_GB2312" w:cs="Times New Roman"/>
          <w:sz w:val="32"/>
          <w:szCs w:val="32"/>
          <w:lang w:val="en-US" w:eastAsia="zh-CN"/>
        </w:rPr>
        <w:t>详见附件1</w:t>
      </w:r>
      <w:r>
        <w:rPr>
          <w:rFonts w:hint="eastAsia" w:ascii="Times New Roman" w:hAnsi="Times New Roman" w:eastAsia="方正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sz w:val="32"/>
          <w:szCs w:val="32"/>
        </w:rPr>
      </w:pPr>
      <w:r>
        <w:rPr>
          <w:rFonts w:hint="default" w:ascii="黑体" w:hAnsi="黑体" w:eastAsia="黑体" w:cs="黑体"/>
          <w:sz w:val="32"/>
          <w:szCs w:val="32"/>
        </w:rPr>
        <w:t>四、培训时间与形式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eastAsia" w:ascii="Times New Roman" w:hAnsi="Times New Roman" w:eastAsia="方正仿宋_GB2312" w:cs="Times New Roman"/>
          <w:sz w:val="32"/>
          <w:szCs w:val="32"/>
          <w:lang w:val="en-US" w:eastAsia="zh-CN"/>
        </w:rPr>
        <w:t>1.</w:t>
      </w:r>
      <w:r>
        <w:rPr>
          <w:rFonts w:hint="default" w:ascii="Times New Roman" w:hAnsi="Times New Roman" w:eastAsia="方正仿宋_GB2312" w:cs="Times New Roman"/>
          <w:sz w:val="32"/>
          <w:szCs w:val="32"/>
        </w:rPr>
        <w:t>时间：2025年10月14日-19日、22日-25日、28日-30日（共13天）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eastAsia" w:ascii="Times New Roman" w:hAnsi="Times New Roman" w:eastAsia="方正仿宋_GB2312" w:cs="Times New Roman"/>
          <w:sz w:val="32"/>
          <w:szCs w:val="32"/>
          <w:lang w:val="en-US" w:eastAsia="zh-CN"/>
        </w:rPr>
        <w:t>2.</w:t>
      </w:r>
      <w:r>
        <w:rPr>
          <w:rFonts w:hint="default" w:ascii="Times New Roman" w:hAnsi="Times New Roman" w:eastAsia="方正仿宋_GB2312" w:cs="Times New Roman"/>
          <w:sz w:val="32"/>
          <w:szCs w:val="32"/>
        </w:rPr>
        <w:t>形式：线下面授</w:t>
      </w:r>
      <w:r>
        <w:rPr>
          <w:rFonts w:hint="default" w:ascii="Times New Roman" w:hAnsi="Times New Roman" w:eastAsia="方正仿宋_GB2312" w:cs="Times New Roman"/>
          <w:sz w:val="32"/>
          <w:szCs w:val="32"/>
          <w:lang w:val="en-US" w:eastAsia="zh-CN"/>
        </w:rPr>
        <w:t>+</w:t>
      </w:r>
      <w:r>
        <w:rPr>
          <w:rFonts w:hint="default" w:ascii="Times New Roman" w:hAnsi="Times New Roman" w:eastAsia="方正仿宋_GB2312" w:cs="Times New Roman"/>
          <w:sz w:val="32"/>
          <w:szCs w:val="32"/>
        </w:rPr>
        <w:t>线上专题讲座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2312" w:cs="Times New Roman"/>
          <w:sz w:val="32"/>
          <w:szCs w:val="32"/>
          <w:lang w:val="en-US" w:eastAsia="zh-CN"/>
        </w:rPr>
      </w:pPr>
      <w:r>
        <w:rPr>
          <w:rFonts w:hint="eastAsia" w:ascii="Times New Roman" w:hAnsi="Times New Roman" w:eastAsia="方正仿宋_GB2312" w:cs="Times New Roman"/>
          <w:sz w:val="32"/>
          <w:szCs w:val="32"/>
          <w:lang w:val="en-US" w:eastAsia="zh-CN"/>
        </w:rPr>
        <w:t>3.</w:t>
      </w:r>
      <w:r>
        <w:rPr>
          <w:rFonts w:hint="default" w:ascii="Times New Roman" w:hAnsi="Times New Roman" w:eastAsia="方正仿宋_GB2312" w:cs="Times New Roman"/>
          <w:sz w:val="32"/>
          <w:szCs w:val="32"/>
        </w:rPr>
        <w:t>地点：贵阳市云岩区宝山北路116号物理与电子科学学院一楼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sz w:val="32"/>
          <w:szCs w:val="32"/>
        </w:rPr>
      </w:pPr>
      <w:r>
        <w:rPr>
          <w:rFonts w:hint="default" w:ascii="黑体" w:hAnsi="黑体" w:eastAsia="黑体" w:cs="黑体"/>
          <w:sz w:val="32"/>
          <w:szCs w:val="32"/>
        </w:rPr>
        <w:t>五、培训费用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lang w:val="en-US" w:eastAsia="zh-CN"/>
        </w:rPr>
      </w:pPr>
      <w:r>
        <w:rPr>
          <w:rFonts w:hint="eastAsia" w:ascii="Times New Roman" w:hAnsi="Times New Roman" w:eastAsia="方正仿宋_GB2312" w:cs="Times New Roman"/>
          <w:sz w:val="32"/>
          <w:szCs w:val="32"/>
          <w:lang w:val="en-US" w:eastAsia="zh-CN"/>
        </w:rPr>
        <w:t>1.</w:t>
      </w:r>
      <w:r>
        <w:rPr>
          <w:rFonts w:hint="default" w:ascii="Times New Roman" w:hAnsi="Times New Roman" w:eastAsia="方正仿宋_GB2312" w:cs="Times New Roman"/>
          <w:sz w:val="32"/>
          <w:szCs w:val="32"/>
        </w:rPr>
        <w:t>培训费</w:t>
      </w:r>
      <w:r>
        <w:rPr>
          <w:rFonts w:hint="eastAsia" w:ascii="Times New Roman" w:hAnsi="Times New Roman" w:eastAsia="方正仿宋_GB2312" w:cs="Times New Roman"/>
          <w:sz w:val="32"/>
          <w:szCs w:val="32"/>
          <w:lang w:eastAsia="zh-CN"/>
        </w:rPr>
        <w:t>：</w:t>
      </w:r>
      <w:r>
        <w:rPr>
          <w:rFonts w:hint="default" w:ascii="Times New Roman" w:hAnsi="Times New Roman" w:eastAsia="方正仿宋_GB2312" w:cs="Times New Roman"/>
          <w:sz w:val="32"/>
          <w:szCs w:val="32"/>
        </w:rPr>
        <w:t>5800元/人</w:t>
      </w:r>
      <w:r>
        <w:rPr>
          <w:rFonts w:hint="eastAsia" w:ascii="Times New Roman" w:hAnsi="Times New Roman" w:eastAsia="方正仿宋_GB2312" w:cs="Times New Roman"/>
          <w:sz w:val="32"/>
          <w:szCs w:val="32"/>
          <w:lang w:eastAsia="zh-CN"/>
        </w:rPr>
        <w:t>，</w:t>
      </w:r>
      <w:r>
        <w:rPr>
          <w:rFonts w:hint="eastAsia" w:ascii="Times New Roman" w:hAnsi="Times New Roman" w:eastAsia="方正仿宋_GB2312" w:cs="Times New Roman"/>
          <w:sz w:val="32"/>
          <w:szCs w:val="32"/>
          <w:lang w:val="en-US" w:eastAsia="zh-CN"/>
        </w:rPr>
        <w:t>学院将根据报名情况进行统筹安排。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eastAsia" w:ascii="Times New Roman" w:hAnsi="Times New Roman" w:eastAsia="方正仿宋_GB2312" w:cs="Times New Roman"/>
          <w:sz w:val="32"/>
          <w:szCs w:val="32"/>
          <w:lang w:val="en-US" w:eastAsia="zh-CN"/>
        </w:rPr>
        <w:t>2.其他费用：报名费、</w:t>
      </w:r>
      <w:r>
        <w:rPr>
          <w:rFonts w:hint="default" w:ascii="Times New Roman" w:hAnsi="Times New Roman" w:eastAsia="方正仿宋_GB2312" w:cs="Times New Roman"/>
          <w:sz w:val="32"/>
          <w:szCs w:val="32"/>
        </w:rPr>
        <w:t>食宿及交通费用自理。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default" w:ascii="黑体" w:hAnsi="黑体" w:eastAsia="黑体" w:cs="黑体"/>
          <w:sz w:val="32"/>
          <w:szCs w:val="32"/>
        </w:rPr>
        <w:t>六、报名方式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（一）报名截止时间​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default" w:ascii="Times New Roman" w:hAnsi="Times New Roman" w:eastAsia="方正仿宋_GB2312" w:cs="Times New Roman"/>
          <w:sz w:val="32"/>
          <w:szCs w:val="32"/>
        </w:rPr>
        <w:t>2025年9月15日17:00（逾期不再受理报名）。​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default" w:ascii="楷体" w:hAnsi="楷体" w:eastAsia="楷体" w:cs="楷体"/>
          <w:sz w:val="32"/>
          <w:szCs w:val="32"/>
        </w:rPr>
        <w:t>（二）报名材料及提交要求</w:t>
      </w:r>
      <w:r>
        <w:rPr>
          <w:rFonts w:hint="default" w:ascii="Times New Roman" w:hAnsi="Times New Roman" w:eastAsia="方正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default" w:ascii="Times New Roman" w:hAnsi="Times New Roman" w:eastAsia="方正仿宋_GB2312" w:cs="Times New Roman"/>
          <w:sz w:val="32"/>
          <w:szCs w:val="32"/>
        </w:rPr>
        <w:t>需提交材料：《2025年贵州省高校教师国际中文教育培训报名回执》（附件</w:t>
      </w:r>
      <w:r>
        <w:rPr>
          <w:rFonts w:hint="eastAsia" w:ascii="Times New Roman" w:hAnsi="Times New Roman" w:eastAsia="方正仿宋_GB2312" w:cs="Times New Roman"/>
          <w:sz w:val="32"/>
          <w:szCs w:val="32"/>
          <w:lang w:val="en-US" w:eastAsia="zh-CN"/>
        </w:rPr>
        <w:t>2</w:t>
      </w:r>
      <w:r>
        <w:rPr>
          <w:rFonts w:hint="default" w:ascii="Times New Roman" w:hAnsi="Times New Roman" w:eastAsia="方正仿宋_GB2312" w:cs="Times New Roman"/>
          <w:sz w:val="32"/>
          <w:szCs w:val="32"/>
        </w:rPr>
        <w:t>，个人填写完整）、《2025年贵州省高校教师国际中文教育培训报名汇总表》（附件</w:t>
      </w:r>
      <w:r>
        <w:rPr>
          <w:rFonts w:hint="eastAsia" w:ascii="Times New Roman" w:hAnsi="Times New Roman" w:eastAsia="方正仿宋_GB2312" w:cs="Times New Roman"/>
          <w:sz w:val="32"/>
          <w:szCs w:val="32"/>
          <w:lang w:val="en-US" w:eastAsia="zh-CN"/>
        </w:rPr>
        <w:t>3</w:t>
      </w:r>
      <w:r>
        <w:rPr>
          <w:rFonts w:hint="default" w:ascii="Times New Roman" w:hAnsi="Times New Roman" w:eastAsia="方正仿宋_GB2312" w:cs="Times New Roman"/>
          <w:sz w:val="32"/>
          <w:szCs w:val="32"/>
        </w:rPr>
        <w:t>，系部统一汇总填写）；​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default" w:ascii="Times New Roman" w:hAnsi="Times New Roman" w:eastAsia="方正仿宋_GB2312" w:cs="Times New Roman"/>
          <w:sz w:val="32"/>
          <w:szCs w:val="32"/>
        </w:rPr>
        <w:t>电子档提交：请各系部将上述材料的可编辑电子档（命名为“系部名称+2025师资培训报名材料”）发送至邮箱358233361@qq.com</w:t>
      </w:r>
      <w:r>
        <w:rPr>
          <w:rFonts w:hint="eastAsia" w:ascii="Times New Roman" w:hAnsi="Times New Roman" w:eastAsia="方正仿宋_GB2312" w:cs="Times New Roman"/>
          <w:sz w:val="32"/>
          <w:szCs w:val="32"/>
          <w:lang w:eastAsia="zh-CN"/>
        </w:rPr>
        <w:t>；</w:t>
      </w:r>
      <w:r>
        <w:rPr>
          <w:rFonts w:hint="default" w:ascii="Times New Roman" w:hAnsi="Times New Roman" w:eastAsia="方正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lang w:val="en-US" w:eastAsia="zh-CN"/>
        </w:rPr>
      </w:pPr>
      <w:r>
        <w:rPr>
          <w:rFonts w:hint="default" w:ascii="Times New Roman" w:hAnsi="Times New Roman" w:eastAsia="方正仿宋_GB2312" w:cs="Times New Roman"/>
          <w:sz w:val="32"/>
          <w:szCs w:val="32"/>
        </w:rPr>
        <w:t>纸质版提交：电子档提交后，需将纸质版材料经系部主要负责人签字、加盖系部公章，报送至学校图书馆二楼217对外合作与交流办公室。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default" w:ascii="黑体" w:hAnsi="黑体" w:eastAsia="黑体" w:cs="黑体"/>
          <w:sz w:val="32"/>
          <w:szCs w:val="32"/>
        </w:rPr>
        <w:t>七、其他说明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2312" w:cs="Times New Roman"/>
          <w:sz w:val="32"/>
          <w:szCs w:val="32"/>
        </w:rPr>
      </w:pPr>
      <w:r>
        <w:rPr>
          <w:rFonts w:hint="eastAsia" w:ascii="Times New Roman" w:hAnsi="Times New Roman" w:eastAsia="方正仿宋_GB2312" w:cs="Times New Roman"/>
          <w:sz w:val="32"/>
          <w:szCs w:val="32"/>
          <w:lang w:val="en-US" w:eastAsia="zh-CN"/>
        </w:rPr>
        <w:t>1.</w:t>
      </w:r>
      <w:r>
        <w:rPr>
          <w:rFonts w:hint="default" w:ascii="Times New Roman" w:hAnsi="Times New Roman" w:eastAsia="方正仿宋_GB2312" w:cs="Times New Roman"/>
          <w:sz w:val="32"/>
          <w:szCs w:val="32"/>
        </w:rPr>
        <w:t>参训教师需按培训安排全程参与学习，不得无故缺席、迟到、早退，确有特殊情况需提前向系部及对外合作与交流办公室报备</w:t>
      </w:r>
      <w:r>
        <w:rPr>
          <w:rFonts w:hint="eastAsia" w:ascii="Times New Roman" w:hAnsi="Times New Roman" w:eastAsia="方正仿宋_GB2312" w:cs="Times New Roman"/>
          <w:sz w:val="32"/>
          <w:szCs w:val="32"/>
          <w:lang w:eastAsia="zh-CN"/>
        </w:rPr>
        <w:t>。</w:t>
      </w:r>
      <w:r>
        <w:rPr>
          <w:rFonts w:hint="default" w:ascii="Times New Roman" w:hAnsi="Times New Roman" w:eastAsia="方正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2312" w:cs="Times New Roman"/>
          <w:sz w:val="32"/>
          <w:szCs w:val="32"/>
          <w:lang w:eastAsia="zh-CN"/>
        </w:rPr>
      </w:pPr>
      <w:r>
        <w:rPr>
          <w:rFonts w:hint="eastAsia" w:ascii="Times New Roman" w:hAnsi="Times New Roman" w:eastAsia="方正仿宋_GB2312" w:cs="Times New Roman"/>
          <w:sz w:val="32"/>
          <w:szCs w:val="32"/>
          <w:lang w:val="en-US" w:eastAsia="zh-CN"/>
        </w:rPr>
        <w:t>2.</w:t>
      </w:r>
      <w:r>
        <w:rPr>
          <w:rFonts w:hint="default" w:ascii="Times New Roman" w:hAnsi="Times New Roman" w:eastAsia="方正仿宋_GB2312" w:cs="Times New Roman"/>
          <w:sz w:val="32"/>
          <w:szCs w:val="32"/>
        </w:rPr>
        <w:t>培训结束后，</w:t>
      </w:r>
      <w:r>
        <w:rPr>
          <w:rFonts w:hint="eastAsia" w:ascii="Times New Roman" w:hAnsi="Times New Roman" w:eastAsia="方正仿宋_GB2312" w:cs="Times New Roman"/>
          <w:sz w:val="32"/>
          <w:szCs w:val="32"/>
          <w:lang w:val="en-US" w:eastAsia="zh-CN"/>
        </w:rPr>
        <w:t>所有参训教师将获得</w:t>
      </w:r>
      <w:r>
        <w:rPr>
          <w:rFonts w:hint="default" w:ascii="Times New Roman" w:hAnsi="Times New Roman" w:eastAsia="方正仿宋_GB2312" w:cs="Times New Roman"/>
          <w:sz w:val="32"/>
          <w:szCs w:val="32"/>
        </w:rPr>
        <w:t>《2025年贵州省高等院校教师国际中文教育教学能力提升培训结业证书》</w:t>
      </w:r>
      <w:r>
        <w:rPr>
          <w:rFonts w:hint="eastAsia" w:ascii="Times New Roman" w:hAnsi="Times New Roman" w:eastAsia="方正仿宋_GB2312" w:cs="Times New Roman"/>
          <w:sz w:val="32"/>
          <w:szCs w:val="32"/>
          <w:lang w:eastAsia="zh-CN"/>
        </w:rPr>
        <w:t>。</w:t>
      </w:r>
      <w:r>
        <w:rPr>
          <w:rFonts w:hint="eastAsia" w:ascii="Times New Roman" w:hAnsi="Times New Roman" w:eastAsia="方正仿宋_GB2312" w:cs="Times New Roman"/>
          <w:sz w:val="32"/>
          <w:szCs w:val="32"/>
          <w:lang w:val="en-US" w:eastAsia="zh-CN"/>
        </w:rPr>
        <w:t>同时，所有参训教师均需参加相关考试并取得《国际中文教师证书》</w:t>
      </w:r>
      <w:r>
        <w:rPr>
          <w:rFonts w:hint="eastAsia" w:ascii="Times New Roman" w:hAnsi="Times New Roman" w:eastAsia="方正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2312" w:cs="Times New Roman"/>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方正仿宋_GB2312" w:cs="Times New Roman"/>
          <w:sz w:val="32"/>
          <w:szCs w:val="32"/>
          <w:lang w:val="en-US" w:eastAsia="zh-CN"/>
        </w:rPr>
      </w:pPr>
      <w:r>
        <w:rPr>
          <w:rFonts w:hint="eastAsia" w:ascii="Times New Roman" w:hAnsi="Times New Roman" w:eastAsia="方正仿宋_GB2312" w:cs="Times New Roman"/>
          <w:sz w:val="32"/>
          <w:szCs w:val="32"/>
          <w:lang w:eastAsia="zh-CN"/>
        </w:rPr>
        <w:t>（</w:t>
      </w:r>
      <w:r>
        <w:rPr>
          <w:rFonts w:hint="default" w:ascii="Times New Roman" w:hAnsi="Times New Roman" w:eastAsia="方正仿宋_GB2312" w:cs="Times New Roman"/>
          <w:sz w:val="32"/>
          <w:szCs w:val="32"/>
        </w:rPr>
        <w:t>联系人：</w:t>
      </w:r>
      <w:r>
        <w:rPr>
          <w:rFonts w:hint="eastAsia" w:ascii="Times New Roman" w:hAnsi="Times New Roman" w:eastAsia="方正仿宋_GB2312" w:cs="Times New Roman"/>
          <w:sz w:val="32"/>
          <w:szCs w:val="32"/>
          <w:lang w:val="en-US" w:eastAsia="zh-CN"/>
        </w:rPr>
        <w:t>李雅菡</w:t>
      </w:r>
      <w:r>
        <w:rPr>
          <w:rFonts w:hint="default" w:ascii="Times New Roman" w:hAnsi="Times New Roman" w:eastAsia="方正仿宋_GB2312" w:cs="Times New Roman"/>
          <w:sz w:val="32"/>
          <w:szCs w:val="32"/>
        </w:rPr>
        <w:t xml:space="preserve">  </w:t>
      </w:r>
      <w:r>
        <w:rPr>
          <w:rFonts w:hint="eastAsia" w:ascii="Times New Roman" w:hAnsi="Times New Roman" w:eastAsia="方正仿宋_GB2312" w:cs="Times New Roman"/>
          <w:sz w:val="32"/>
          <w:szCs w:val="32"/>
          <w:lang w:val="en-US" w:eastAsia="zh-CN"/>
        </w:rPr>
        <w:t xml:space="preserve">    </w:t>
      </w:r>
      <w:r>
        <w:rPr>
          <w:rFonts w:hint="default" w:ascii="Times New Roman" w:hAnsi="Times New Roman" w:eastAsia="方正仿宋_GB2312" w:cs="Times New Roman"/>
          <w:sz w:val="32"/>
          <w:szCs w:val="32"/>
        </w:rPr>
        <w:t>联系电话：</w:t>
      </w:r>
      <w:r>
        <w:rPr>
          <w:rFonts w:hint="default" w:ascii="Times New Roman" w:hAnsi="Times New Roman" w:eastAsia="方正仿宋_GB2312" w:cs="Times New Roman"/>
          <w:sz w:val="32"/>
          <w:szCs w:val="32"/>
          <w:lang w:val="en-US" w:eastAsia="zh-CN"/>
        </w:rPr>
        <w:t xml:space="preserve">13269938657 </w:t>
      </w:r>
      <w:r>
        <w:rPr>
          <w:rFonts w:hint="eastAsia" w:ascii="Times New Roman" w:hAnsi="Times New Roman" w:eastAsia="方正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Times New Roman" w:hAnsi="Times New Roman" w:eastAsia="方正仿宋_GB2312" w:cs="Times New Roman"/>
          <w:sz w:val="32"/>
          <w:szCs w:val="32"/>
          <w:lang w:val="en-US" w:eastAsia="zh-CN"/>
        </w:rPr>
      </w:pPr>
      <w:r>
        <w:rPr>
          <w:rFonts w:hint="eastAsia" w:ascii="Times New Roman" w:hAnsi="Times New Roman" w:eastAsia="方正仿宋_GB2312"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Times New Roman" w:hAnsi="Times New Roman" w:eastAsia="方正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default" w:ascii="Times New Roman" w:hAnsi="Times New Roman" w:eastAsia="方正仿宋_GB2312" w:cs="Times New Roman"/>
          <w:sz w:val="32"/>
          <w:szCs w:val="32"/>
          <w:lang w:val="en-US" w:eastAsia="zh-CN"/>
        </w:rPr>
      </w:pPr>
      <w:r>
        <w:rPr>
          <w:rFonts w:hint="eastAsia" w:ascii="Times New Roman" w:hAnsi="Times New Roman" w:eastAsia="方正仿宋_GB2312" w:cs="Times New Roman"/>
          <w:sz w:val="32"/>
          <w:szCs w:val="32"/>
          <w:lang w:val="en-US" w:eastAsia="zh-CN"/>
        </w:rPr>
        <w:t xml:space="preserve">            </w:t>
      </w:r>
      <w:r>
        <w:rPr>
          <w:rFonts w:hint="default" w:ascii="Times New Roman" w:hAnsi="Times New Roman" w:eastAsia="方正仿宋_GB2312" w:cs="Times New Roman"/>
          <w:sz w:val="32"/>
          <w:szCs w:val="32"/>
          <w:lang w:val="en-US" w:eastAsia="zh-CN"/>
        </w:rPr>
        <w:t>对外合作与交流办公室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default" w:ascii="Times New Roman" w:hAnsi="Times New Roman" w:eastAsia="方正仿宋_GB2312" w:cs="Times New Roman"/>
          <w:sz w:val="32"/>
          <w:szCs w:val="32"/>
          <w:lang w:val="en-US" w:eastAsia="zh-CN"/>
        </w:rPr>
      </w:pPr>
      <w:r>
        <w:rPr>
          <w:rFonts w:hint="eastAsia" w:ascii="Times New Roman" w:hAnsi="Times New Roman" w:eastAsia="方正仿宋_GB2312" w:cs="Times New Roman"/>
          <w:sz w:val="32"/>
          <w:szCs w:val="32"/>
          <w:lang w:val="en-US" w:eastAsia="zh-CN"/>
        </w:rPr>
        <w:t xml:space="preserve">              2025年9月4日</w:t>
      </w:r>
    </w:p>
    <w:bookmarkEnd w:id="0"/>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2312" w:cs="Times New Roman"/>
          <w:sz w:val="32"/>
          <w:szCs w:val="32"/>
        </w:rPr>
      </w:pPr>
    </w:p>
    <w:bookmarkEnd w:id="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72B2727-2F93-4088-A6B0-2FAA4D47F08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A00002BF" w:usb1="38CF7CFA" w:usb2="00082016" w:usb3="00000000" w:csb0="00040001" w:csb1="00000000"/>
    <w:embedRegular r:id="rId2" w:fontKey="{E3CFAB5B-37D7-4EB2-B86E-83156404788E}"/>
  </w:font>
  <w:font w:name="方正小标宋简体">
    <w:panose1 w:val="03000509000000000000"/>
    <w:charset w:val="86"/>
    <w:family w:val="auto"/>
    <w:pitch w:val="default"/>
    <w:sig w:usb0="00000001" w:usb1="080E0000" w:usb2="00000000" w:usb3="00000000" w:csb0="00040000" w:csb1="00000000"/>
    <w:embedRegular r:id="rId3" w:fontKey="{84F249EF-E217-49C6-80E2-9F1F88116C38}"/>
  </w:font>
  <w:font w:name="方正仿宋_GB2312">
    <w:panose1 w:val="02000000000000000000"/>
    <w:charset w:val="86"/>
    <w:family w:val="auto"/>
    <w:pitch w:val="default"/>
    <w:sig w:usb0="A00002BF" w:usb1="184F6CFA" w:usb2="00000012" w:usb3="00000000" w:csb0="00040001" w:csb1="00000000"/>
    <w:embedRegular r:id="rId4" w:fontKey="{1EC2B24E-11AD-44AC-90A6-73BE06F03EA5}"/>
  </w:font>
  <w:font w:name="楷体">
    <w:panose1 w:val="02010609060101010101"/>
    <w:charset w:val="86"/>
    <w:family w:val="auto"/>
    <w:pitch w:val="default"/>
    <w:sig w:usb0="800002BF" w:usb1="38CF7CFA" w:usb2="00000016" w:usb3="00000000" w:csb0="00040001" w:csb1="00000000"/>
    <w:embedRegular r:id="rId5" w:fontKey="{6243DA49-9582-4C58-9F5D-9342CB96D797}"/>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1Yjk5ZTYzYmE0MjI0YjdjZDQ5ZWViZDcxMWM5NzYifQ=="/>
  </w:docVars>
  <w:rsids>
    <w:rsidRoot w:val="00000000"/>
    <w:rsid w:val="005F65CD"/>
    <w:rsid w:val="00BC57CD"/>
    <w:rsid w:val="016C71F3"/>
    <w:rsid w:val="01C76A5A"/>
    <w:rsid w:val="02092C94"/>
    <w:rsid w:val="0293255D"/>
    <w:rsid w:val="03E5328D"/>
    <w:rsid w:val="0438160E"/>
    <w:rsid w:val="059D3E1F"/>
    <w:rsid w:val="05EF5A7B"/>
    <w:rsid w:val="076B1CFB"/>
    <w:rsid w:val="07C75183"/>
    <w:rsid w:val="07C82CA9"/>
    <w:rsid w:val="07D96C64"/>
    <w:rsid w:val="086E1AA3"/>
    <w:rsid w:val="089808CE"/>
    <w:rsid w:val="09E0077E"/>
    <w:rsid w:val="0A4C1970"/>
    <w:rsid w:val="0B2428ED"/>
    <w:rsid w:val="0BAE0408"/>
    <w:rsid w:val="0C945850"/>
    <w:rsid w:val="0CC55A09"/>
    <w:rsid w:val="0D613984"/>
    <w:rsid w:val="0DA41AC3"/>
    <w:rsid w:val="0F000F7B"/>
    <w:rsid w:val="121C256F"/>
    <w:rsid w:val="122D2087"/>
    <w:rsid w:val="12C0739F"/>
    <w:rsid w:val="13094E01"/>
    <w:rsid w:val="143A4F2F"/>
    <w:rsid w:val="14C60571"/>
    <w:rsid w:val="14EF5D19"/>
    <w:rsid w:val="15001CD4"/>
    <w:rsid w:val="15384CB1"/>
    <w:rsid w:val="15704D94"/>
    <w:rsid w:val="16077093"/>
    <w:rsid w:val="1666200B"/>
    <w:rsid w:val="16C17241"/>
    <w:rsid w:val="17F81389"/>
    <w:rsid w:val="18185587"/>
    <w:rsid w:val="198E369B"/>
    <w:rsid w:val="19AF5A77"/>
    <w:rsid w:val="1AC45552"/>
    <w:rsid w:val="1B041DF3"/>
    <w:rsid w:val="1B1A1616"/>
    <w:rsid w:val="1BB47375"/>
    <w:rsid w:val="1BD262BE"/>
    <w:rsid w:val="1C127EBF"/>
    <w:rsid w:val="1D4330A6"/>
    <w:rsid w:val="1E935967"/>
    <w:rsid w:val="1F0C3495"/>
    <w:rsid w:val="1FD61FB0"/>
    <w:rsid w:val="1FED554B"/>
    <w:rsid w:val="1FEF3071"/>
    <w:rsid w:val="20185475"/>
    <w:rsid w:val="204C4020"/>
    <w:rsid w:val="215018EE"/>
    <w:rsid w:val="215D05DE"/>
    <w:rsid w:val="21FC1A76"/>
    <w:rsid w:val="220426D8"/>
    <w:rsid w:val="227855A0"/>
    <w:rsid w:val="22CA64DE"/>
    <w:rsid w:val="22CF718A"/>
    <w:rsid w:val="236553F8"/>
    <w:rsid w:val="23810484"/>
    <w:rsid w:val="23E46C65"/>
    <w:rsid w:val="24343749"/>
    <w:rsid w:val="246D6C5B"/>
    <w:rsid w:val="24A501A2"/>
    <w:rsid w:val="24AE34FB"/>
    <w:rsid w:val="24BE74B6"/>
    <w:rsid w:val="2547125A"/>
    <w:rsid w:val="266F0A68"/>
    <w:rsid w:val="26CD578F"/>
    <w:rsid w:val="26FE299E"/>
    <w:rsid w:val="270C4509"/>
    <w:rsid w:val="27247AA4"/>
    <w:rsid w:val="27E75C64"/>
    <w:rsid w:val="285C326E"/>
    <w:rsid w:val="294D2BB7"/>
    <w:rsid w:val="294F4B81"/>
    <w:rsid w:val="2976210D"/>
    <w:rsid w:val="2987431B"/>
    <w:rsid w:val="2AAF1D7B"/>
    <w:rsid w:val="2B142BB5"/>
    <w:rsid w:val="2B25203D"/>
    <w:rsid w:val="2C8132A3"/>
    <w:rsid w:val="2C954FA0"/>
    <w:rsid w:val="2D685340"/>
    <w:rsid w:val="2D87488A"/>
    <w:rsid w:val="2D947006"/>
    <w:rsid w:val="2E7B1F74"/>
    <w:rsid w:val="2EE45D6B"/>
    <w:rsid w:val="2F106B60"/>
    <w:rsid w:val="2FEF7595"/>
    <w:rsid w:val="306C7DC6"/>
    <w:rsid w:val="30C714A1"/>
    <w:rsid w:val="312564F4"/>
    <w:rsid w:val="319E48F7"/>
    <w:rsid w:val="32146967"/>
    <w:rsid w:val="32755658"/>
    <w:rsid w:val="328C4750"/>
    <w:rsid w:val="32C71C2C"/>
    <w:rsid w:val="32E620B2"/>
    <w:rsid w:val="3369683F"/>
    <w:rsid w:val="336D27D3"/>
    <w:rsid w:val="336E3E55"/>
    <w:rsid w:val="337C47C4"/>
    <w:rsid w:val="33955886"/>
    <w:rsid w:val="33D44600"/>
    <w:rsid w:val="344E7509"/>
    <w:rsid w:val="348A21CF"/>
    <w:rsid w:val="35401DE5"/>
    <w:rsid w:val="354D6418"/>
    <w:rsid w:val="35577297"/>
    <w:rsid w:val="35A3428A"/>
    <w:rsid w:val="35E14DB3"/>
    <w:rsid w:val="36032F7B"/>
    <w:rsid w:val="360A255B"/>
    <w:rsid w:val="364E048D"/>
    <w:rsid w:val="36BB3856"/>
    <w:rsid w:val="385C4BC4"/>
    <w:rsid w:val="38FE7A29"/>
    <w:rsid w:val="39CB2002"/>
    <w:rsid w:val="39FC665F"/>
    <w:rsid w:val="3A4F2C33"/>
    <w:rsid w:val="3A6F5083"/>
    <w:rsid w:val="3C123F18"/>
    <w:rsid w:val="3D5D11C3"/>
    <w:rsid w:val="3D600CB3"/>
    <w:rsid w:val="3E5C76CC"/>
    <w:rsid w:val="3ED63E94"/>
    <w:rsid w:val="3EF47905"/>
    <w:rsid w:val="40077B0C"/>
    <w:rsid w:val="400B3158"/>
    <w:rsid w:val="40726C92"/>
    <w:rsid w:val="414C1C7A"/>
    <w:rsid w:val="414D77A0"/>
    <w:rsid w:val="41517290"/>
    <w:rsid w:val="4182744A"/>
    <w:rsid w:val="418807D8"/>
    <w:rsid w:val="418E1DC0"/>
    <w:rsid w:val="419929E5"/>
    <w:rsid w:val="41EA7D5F"/>
    <w:rsid w:val="42A47894"/>
    <w:rsid w:val="43601A0D"/>
    <w:rsid w:val="43CF6B92"/>
    <w:rsid w:val="444A6219"/>
    <w:rsid w:val="449D27EC"/>
    <w:rsid w:val="44DF1057"/>
    <w:rsid w:val="45997458"/>
    <w:rsid w:val="45F428E0"/>
    <w:rsid w:val="45F91CA4"/>
    <w:rsid w:val="461C4646"/>
    <w:rsid w:val="46207231"/>
    <w:rsid w:val="467A2DE5"/>
    <w:rsid w:val="47332F94"/>
    <w:rsid w:val="47A65E5C"/>
    <w:rsid w:val="48013092"/>
    <w:rsid w:val="48337038"/>
    <w:rsid w:val="491C63D6"/>
    <w:rsid w:val="49E36EF3"/>
    <w:rsid w:val="4ADA02F6"/>
    <w:rsid w:val="4C51283A"/>
    <w:rsid w:val="4CA87F80"/>
    <w:rsid w:val="4CE07A94"/>
    <w:rsid w:val="4D302450"/>
    <w:rsid w:val="4D355CB8"/>
    <w:rsid w:val="4D6E78D4"/>
    <w:rsid w:val="4D826A23"/>
    <w:rsid w:val="4E0B0692"/>
    <w:rsid w:val="4EBE3A8B"/>
    <w:rsid w:val="4F7D74A2"/>
    <w:rsid w:val="4F8A7C0C"/>
    <w:rsid w:val="502344EE"/>
    <w:rsid w:val="50AD2009"/>
    <w:rsid w:val="50F639B0"/>
    <w:rsid w:val="51884273"/>
    <w:rsid w:val="51954F77"/>
    <w:rsid w:val="51E60623"/>
    <w:rsid w:val="527A5F1B"/>
    <w:rsid w:val="52B07B8F"/>
    <w:rsid w:val="52CF270B"/>
    <w:rsid w:val="52FA7C30"/>
    <w:rsid w:val="53670B95"/>
    <w:rsid w:val="53F35F85"/>
    <w:rsid w:val="54751090"/>
    <w:rsid w:val="55C20305"/>
    <w:rsid w:val="567A0BDF"/>
    <w:rsid w:val="56DC0F52"/>
    <w:rsid w:val="573C7C43"/>
    <w:rsid w:val="57AD28EF"/>
    <w:rsid w:val="58316EEB"/>
    <w:rsid w:val="5886561A"/>
    <w:rsid w:val="58F06F37"/>
    <w:rsid w:val="59374B66"/>
    <w:rsid w:val="5A2C21F1"/>
    <w:rsid w:val="5A867B53"/>
    <w:rsid w:val="5BD90156"/>
    <w:rsid w:val="5C6E4D42"/>
    <w:rsid w:val="5D0E5BDE"/>
    <w:rsid w:val="5D380EAD"/>
    <w:rsid w:val="5D543F38"/>
    <w:rsid w:val="5D546CA2"/>
    <w:rsid w:val="5DBE1120"/>
    <w:rsid w:val="5EF3152F"/>
    <w:rsid w:val="5F1F40D2"/>
    <w:rsid w:val="5FA25919"/>
    <w:rsid w:val="5FE64BF0"/>
    <w:rsid w:val="60090FB6"/>
    <w:rsid w:val="60602BF4"/>
    <w:rsid w:val="60730B79"/>
    <w:rsid w:val="607D5554"/>
    <w:rsid w:val="60A1795D"/>
    <w:rsid w:val="60A725D1"/>
    <w:rsid w:val="60DF7FBD"/>
    <w:rsid w:val="60FF41BB"/>
    <w:rsid w:val="618648DC"/>
    <w:rsid w:val="629E5C56"/>
    <w:rsid w:val="63445D9B"/>
    <w:rsid w:val="63624ED5"/>
    <w:rsid w:val="650E70C3"/>
    <w:rsid w:val="655F347A"/>
    <w:rsid w:val="65764C68"/>
    <w:rsid w:val="66884C53"/>
    <w:rsid w:val="66C7577B"/>
    <w:rsid w:val="673E5311"/>
    <w:rsid w:val="67A26C35"/>
    <w:rsid w:val="68994EF5"/>
    <w:rsid w:val="697B0A9F"/>
    <w:rsid w:val="6AF91C7B"/>
    <w:rsid w:val="6B413622"/>
    <w:rsid w:val="6B9244A8"/>
    <w:rsid w:val="6BC524A5"/>
    <w:rsid w:val="6C1F1AB4"/>
    <w:rsid w:val="6CF21078"/>
    <w:rsid w:val="6D064B23"/>
    <w:rsid w:val="6D5F7BD0"/>
    <w:rsid w:val="6D6261FE"/>
    <w:rsid w:val="6D997745"/>
    <w:rsid w:val="6E0C6169"/>
    <w:rsid w:val="6EB1286D"/>
    <w:rsid w:val="6F765F90"/>
    <w:rsid w:val="6F806E0F"/>
    <w:rsid w:val="6F854425"/>
    <w:rsid w:val="6FBA7A3C"/>
    <w:rsid w:val="71BB5EDC"/>
    <w:rsid w:val="71BC5BB9"/>
    <w:rsid w:val="71D451F0"/>
    <w:rsid w:val="72A66B8C"/>
    <w:rsid w:val="72B921A3"/>
    <w:rsid w:val="73BE1CB4"/>
    <w:rsid w:val="74367A9C"/>
    <w:rsid w:val="74BA691F"/>
    <w:rsid w:val="750556C0"/>
    <w:rsid w:val="76051E1C"/>
    <w:rsid w:val="76164029"/>
    <w:rsid w:val="772C405D"/>
    <w:rsid w:val="776E579F"/>
    <w:rsid w:val="77D0645A"/>
    <w:rsid w:val="77DE0B76"/>
    <w:rsid w:val="77EA751B"/>
    <w:rsid w:val="78000AED"/>
    <w:rsid w:val="78E55F35"/>
    <w:rsid w:val="7AA240DD"/>
    <w:rsid w:val="7AAA2F92"/>
    <w:rsid w:val="7ACA53E2"/>
    <w:rsid w:val="7B4707E1"/>
    <w:rsid w:val="7C480CB4"/>
    <w:rsid w:val="7C72188D"/>
    <w:rsid w:val="7CEA3B1A"/>
    <w:rsid w:val="7D1B1F25"/>
    <w:rsid w:val="7D562F5D"/>
    <w:rsid w:val="7D6A4C5A"/>
    <w:rsid w:val="7DBC3708"/>
    <w:rsid w:val="7DC425BD"/>
    <w:rsid w:val="7E5356EF"/>
    <w:rsid w:val="7E577938"/>
    <w:rsid w:val="7F606315"/>
    <w:rsid w:val="7F961D37"/>
    <w:rsid w:val="7FF07E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1025</Words>
  <Characters>1111</Characters>
  <Lines>0</Lines>
  <Paragraphs>0</Paragraphs>
  <TotalTime>18</TotalTime>
  <ScaleCrop>false</ScaleCrop>
  <LinksUpToDate>false</LinksUpToDate>
  <CharactersWithSpaces>1158</CharactersWithSpaces>
  <Application>WPS Office_11.1.0.12165_F1E327BC-269C-435d-A152-05C5408002CA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2025-09-01T06:27:00Z</dcterms:created>
  <dc:creator>ll</dc:creator>
  <cp:lastModifiedBy>158----3849</cp:lastModifiedBy>
  <dcterms:modified xsi:type="dcterms:W3CDTF">2025-09-04T07:50:52Z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242A8AC3364140CC86DD3BCBA8531323_13</vt:lpwstr>
  </property>
  <property fmtid="{D5CDD505-2E9C-101B-9397-08002B2CF9AE}" pid="4" name="KSOTemplateDocerSaveRecord">
    <vt:lpwstr>eyJoZGlkIjoiZmZiYThhMjIzMDFiOTJiMWM4Mjc3M2FkNGJkNGI3YjkiLCJ1c2VySWQiOiIzMTMwMjIyMDAifQ==</vt:lpwstr>
  </property>
</Properties>
</file>