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11AF9">
      <w:pPr>
        <w:widowControl/>
        <w:spacing w:line="240" w:lineRule="auto"/>
        <w:ind w:firstLine="0" w:firstLineChars="0"/>
        <w:rPr>
          <w:rFonts w:eastAsia="方正流行体简体"/>
          <w:spacing w:val="-10"/>
          <w:sz w:val="60"/>
          <w:szCs w:val="60"/>
        </w:rPr>
      </w:pPr>
      <w:r>
        <w:rPr>
          <w:rFonts w:hint="eastAsia" w:eastAsia="方正流行体简体"/>
          <w:spacing w:val="-10"/>
          <w:sz w:val="60"/>
          <w:szCs w:val="60"/>
        </w:rPr>
        <w:drawing>
          <wp:inline distT="0" distB="0" distL="114300" distR="114300">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15"/>
                    <a:stretch>
                      <a:fillRect/>
                    </a:stretch>
                  </pic:blipFill>
                  <pic:spPr>
                    <a:xfrm>
                      <a:off x="0" y="0"/>
                      <a:ext cx="5267325" cy="1393825"/>
                    </a:xfrm>
                    <a:prstGeom prst="rect">
                      <a:avLst/>
                    </a:prstGeom>
                  </pic:spPr>
                </pic:pic>
              </a:graphicData>
            </a:graphic>
          </wp:inline>
        </w:drawing>
      </w:r>
    </w:p>
    <w:p w14:paraId="72149746">
      <w:pPr>
        <w:spacing w:line="240" w:lineRule="auto"/>
        <w:ind w:firstLine="0" w:firstLineChars="0"/>
        <w:rPr>
          <w:rFonts w:ascii="隶书" w:eastAsia="隶书"/>
          <w:spacing w:val="-60"/>
          <w:sz w:val="32"/>
          <w:szCs w:val="32"/>
        </w:rPr>
      </w:pPr>
    </w:p>
    <w:p w14:paraId="1AFC49F3">
      <w:pPr>
        <w:spacing w:line="240" w:lineRule="auto"/>
        <w:ind w:firstLine="400"/>
        <w:rPr>
          <w:rFonts w:ascii="隶书" w:eastAsia="隶书"/>
          <w:spacing w:val="-60"/>
          <w:sz w:val="32"/>
          <w:szCs w:val="32"/>
        </w:rPr>
      </w:pPr>
    </w:p>
    <w:p w14:paraId="5BADA9F2">
      <w:pPr>
        <w:spacing w:line="240" w:lineRule="auto"/>
        <w:ind w:firstLine="0" w:firstLineChars="0"/>
        <w:jc w:val="center"/>
        <w:rPr>
          <w:rFonts w:ascii="黑体" w:hAnsi="楷体" w:eastAsia="黑体"/>
          <w:b/>
          <w:sz w:val="144"/>
          <w:szCs w:val="144"/>
        </w:rPr>
      </w:pPr>
      <w:r>
        <w:rPr>
          <w:rFonts w:hint="eastAsia" w:ascii="黑体" w:hAnsi="楷体" w:eastAsia="黑体"/>
          <w:b/>
          <w:sz w:val="144"/>
          <w:szCs w:val="144"/>
        </w:rPr>
        <w:t>“</w:t>
      </w:r>
      <w:r>
        <w:rPr>
          <w:rFonts w:hint="eastAsia" w:ascii="黑体" w:hAnsi="楷体" w:eastAsia="黑体"/>
          <w:b/>
          <w:sz w:val="144"/>
          <w:szCs w:val="144"/>
          <w:lang w:val="en-US" w:eastAsia="zh-CN"/>
        </w:rPr>
        <w:t>会计基础</w:t>
      </w:r>
      <w:r>
        <w:rPr>
          <w:rFonts w:hint="eastAsia" w:ascii="黑体" w:hAnsi="楷体" w:eastAsia="黑体"/>
          <w:b/>
          <w:sz w:val="144"/>
          <w:szCs w:val="144"/>
        </w:rPr>
        <w:t>”</w:t>
      </w:r>
    </w:p>
    <w:p w14:paraId="305D8B5F">
      <w:pPr>
        <w:spacing w:line="240" w:lineRule="auto"/>
        <w:ind w:firstLine="0" w:firstLineChars="0"/>
        <w:jc w:val="center"/>
        <w:rPr>
          <w:rFonts w:ascii="黑体" w:hAnsi="楷体" w:eastAsia="黑体"/>
          <w:b/>
          <w:sz w:val="72"/>
          <w:szCs w:val="72"/>
        </w:rPr>
      </w:pPr>
    </w:p>
    <w:p w14:paraId="0FB888EA">
      <w:pPr>
        <w:spacing w:line="240" w:lineRule="auto"/>
        <w:ind w:firstLine="0" w:firstLineChars="0"/>
        <w:jc w:val="center"/>
      </w:pPr>
      <w:r>
        <w:rPr>
          <w:rFonts w:hint="eastAsia" w:ascii="黑体" w:hAnsi="楷体" w:eastAsia="黑体"/>
          <w:b/>
          <w:sz w:val="72"/>
          <w:szCs w:val="72"/>
        </w:rPr>
        <w:t>课程标准</w:t>
      </w:r>
    </w:p>
    <w:p w14:paraId="356944D6">
      <w:pPr>
        <w:ind w:firstLine="560"/>
      </w:pPr>
    </w:p>
    <w:p w14:paraId="228298B1">
      <w:pPr>
        <w:ind w:firstLine="0" w:firstLineChars="0"/>
      </w:pPr>
    </w:p>
    <w:tbl>
      <w:tblPr>
        <w:tblStyle w:val="13"/>
        <w:tblpPr w:leftFromText="180" w:rightFromText="180" w:vertAnchor="text" w:horzAnchor="page" w:tblpX="1592" w:tblpY="282"/>
        <w:tblOverlap w:val="never"/>
        <w:tblW w:w="85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57" w:type="dxa"/>
          <w:bottom w:w="0" w:type="dxa"/>
          <w:right w:w="57" w:type="dxa"/>
        </w:tblCellMar>
      </w:tblPr>
      <w:tblGrid>
        <w:gridCol w:w="1860"/>
        <w:gridCol w:w="2208"/>
        <w:gridCol w:w="1801"/>
        <w:gridCol w:w="2647"/>
      </w:tblGrid>
      <w:tr w14:paraId="2BC41AB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42" w:hRule="atLeast"/>
        </w:trPr>
        <w:tc>
          <w:tcPr>
            <w:tcW w:w="1860" w:type="dxa"/>
            <w:tcBorders>
              <w:tl2br w:val="nil"/>
              <w:tr2bl w:val="nil"/>
            </w:tcBorders>
            <w:tcMar>
              <w:top w:w="28" w:type="dxa"/>
              <w:bottom w:w="28" w:type="dxa"/>
            </w:tcMar>
            <w:vAlign w:val="center"/>
          </w:tcPr>
          <w:p w14:paraId="072874B4">
            <w:pPr>
              <w:widowControl/>
              <w:adjustRightInd w:val="0"/>
              <w:snapToGrid w:val="0"/>
              <w:ind w:firstLine="0" w:firstLineChars="0"/>
              <w:jc w:val="center"/>
              <w:textAlignment w:val="center"/>
              <w:rPr>
                <w:rFonts w:cs="宋体"/>
                <w:sz w:val="24"/>
                <w:szCs w:val="24"/>
              </w:rPr>
            </w:pPr>
            <w:r>
              <w:rPr>
                <w:rFonts w:hint="eastAsia" w:cs="宋体"/>
                <w:sz w:val="24"/>
                <w:szCs w:val="24"/>
              </w:rPr>
              <w:t>课程负责人</w:t>
            </w:r>
          </w:p>
          <w:p w14:paraId="3611CBEC">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208" w:type="dxa"/>
            <w:tcBorders>
              <w:tl2br w:val="nil"/>
              <w:tr2bl w:val="nil"/>
            </w:tcBorders>
            <w:tcMar>
              <w:top w:w="28" w:type="dxa"/>
              <w:bottom w:w="28" w:type="dxa"/>
            </w:tcMar>
            <w:vAlign w:val="center"/>
          </w:tcPr>
          <w:p w14:paraId="63C8EEDB">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2E802465">
            <w:pPr>
              <w:widowControl/>
              <w:adjustRightInd w:val="0"/>
              <w:snapToGrid w:val="0"/>
              <w:ind w:firstLine="0" w:firstLineChars="0"/>
              <w:jc w:val="center"/>
              <w:textAlignment w:val="center"/>
              <w:rPr>
                <w:rFonts w:cs="宋体"/>
                <w:sz w:val="24"/>
                <w:szCs w:val="24"/>
              </w:rPr>
            </w:pPr>
            <w:r>
              <w:rPr>
                <w:rFonts w:hint="eastAsia" w:cs="宋体"/>
                <w:sz w:val="24"/>
                <w:szCs w:val="24"/>
              </w:rPr>
              <w:t>教研组组长</w:t>
            </w:r>
          </w:p>
          <w:p w14:paraId="0501128F">
            <w:pPr>
              <w:widowControl/>
              <w:adjustRightInd w:val="0"/>
              <w:snapToGrid w:val="0"/>
              <w:ind w:firstLine="0" w:firstLineChars="0"/>
              <w:jc w:val="center"/>
              <w:textAlignment w:val="center"/>
              <w:rPr>
                <w:rFonts w:eastAsia="宋体"/>
                <w:sz w:val="24"/>
                <w:szCs w:val="24"/>
              </w:rPr>
            </w:pPr>
            <w:r>
              <w:rPr>
                <w:rFonts w:hint="eastAsia" w:cs="宋体"/>
                <w:sz w:val="24"/>
                <w:szCs w:val="24"/>
              </w:rPr>
              <w:t>审核</w:t>
            </w:r>
          </w:p>
        </w:tc>
        <w:tc>
          <w:tcPr>
            <w:tcW w:w="2647" w:type="dxa"/>
            <w:tcBorders>
              <w:tl2br w:val="nil"/>
              <w:tr2bl w:val="nil"/>
            </w:tcBorders>
            <w:tcMar>
              <w:top w:w="28" w:type="dxa"/>
              <w:bottom w:w="28" w:type="dxa"/>
            </w:tcMar>
            <w:vAlign w:val="center"/>
          </w:tcPr>
          <w:p w14:paraId="15319F97">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r w14:paraId="70C708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57" w:type="dxa"/>
            <w:bottom w:w="0" w:type="dxa"/>
            <w:right w:w="57" w:type="dxa"/>
          </w:tblCellMar>
        </w:tblPrEx>
        <w:trPr>
          <w:trHeight w:val="1021" w:hRule="atLeast"/>
        </w:trPr>
        <w:tc>
          <w:tcPr>
            <w:tcW w:w="1860" w:type="dxa"/>
            <w:tcBorders>
              <w:tl2br w:val="nil"/>
              <w:tr2bl w:val="nil"/>
            </w:tcBorders>
            <w:tcMar>
              <w:top w:w="28" w:type="dxa"/>
              <w:bottom w:w="28" w:type="dxa"/>
            </w:tcMar>
            <w:vAlign w:val="center"/>
          </w:tcPr>
          <w:p w14:paraId="1D4143BC">
            <w:pPr>
              <w:widowControl/>
              <w:adjustRightInd w:val="0"/>
              <w:snapToGrid w:val="0"/>
              <w:ind w:firstLine="0" w:firstLineChars="0"/>
              <w:jc w:val="center"/>
              <w:textAlignment w:val="center"/>
              <w:rPr>
                <w:sz w:val="24"/>
                <w:szCs w:val="24"/>
              </w:rPr>
            </w:pPr>
            <w:r>
              <w:rPr>
                <w:rFonts w:hint="eastAsia"/>
                <w:sz w:val="24"/>
                <w:szCs w:val="24"/>
              </w:rPr>
              <w:t>教学单位</w:t>
            </w:r>
          </w:p>
          <w:p w14:paraId="6BD03CB1">
            <w:pPr>
              <w:widowControl/>
              <w:adjustRightInd w:val="0"/>
              <w:snapToGrid w:val="0"/>
              <w:ind w:firstLine="0" w:firstLineChars="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2EB53163">
            <w:pPr>
              <w:widowControl/>
              <w:adjustRightInd w:val="0"/>
              <w:snapToGrid w:val="0"/>
              <w:ind w:firstLine="720" w:firstLineChars="300"/>
              <w:textAlignment w:val="center"/>
              <w:rPr>
                <w:rFonts w:eastAsia="宋体"/>
                <w:sz w:val="24"/>
                <w:szCs w:val="24"/>
              </w:rPr>
            </w:pPr>
            <w:r>
              <w:rPr>
                <w:rFonts w:hint="eastAsia" w:eastAsia="宋体"/>
                <w:sz w:val="24"/>
                <w:szCs w:val="24"/>
              </w:rPr>
              <w:t xml:space="preserve"> </w:t>
            </w:r>
          </w:p>
        </w:tc>
        <w:tc>
          <w:tcPr>
            <w:tcW w:w="1801" w:type="dxa"/>
            <w:tcBorders>
              <w:tl2br w:val="nil"/>
              <w:tr2bl w:val="nil"/>
            </w:tcBorders>
            <w:tcMar>
              <w:top w:w="28" w:type="dxa"/>
              <w:bottom w:w="28" w:type="dxa"/>
            </w:tcMar>
            <w:vAlign w:val="center"/>
          </w:tcPr>
          <w:p w14:paraId="783469C5">
            <w:pPr>
              <w:widowControl/>
              <w:adjustRightInd w:val="0"/>
              <w:snapToGrid w:val="0"/>
              <w:ind w:firstLine="0" w:firstLineChars="0"/>
              <w:jc w:val="center"/>
              <w:textAlignment w:val="center"/>
              <w:rPr>
                <w:rFonts w:cs="宋体"/>
                <w:sz w:val="24"/>
                <w:szCs w:val="24"/>
              </w:rPr>
            </w:pPr>
            <w:r>
              <w:rPr>
                <w:rFonts w:hint="eastAsia" w:cs="宋体"/>
                <w:sz w:val="24"/>
                <w:szCs w:val="24"/>
              </w:rPr>
              <w:t>教学管理部</w:t>
            </w:r>
          </w:p>
          <w:p w14:paraId="0DCA9D5C">
            <w:pPr>
              <w:widowControl/>
              <w:adjustRightInd w:val="0"/>
              <w:snapToGrid w:val="0"/>
              <w:ind w:firstLine="0" w:firstLineChars="0"/>
              <w:jc w:val="center"/>
              <w:textAlignment w:val="center"/>
              <w:rPr>
                <w:rFonts w:eastAsia="宋体"/>
                <w:sz w:val="24"/>
                <w:szCs w:val="24"/>
              </w:rPr>
            </w:pPr>
            <w:r>
              <w:rPr>
                <w:rFonts w:hint="eastAsia" w:cs="宋体"/>
                <w:sz w:val="24"/>
                <w:szCs w:val="24"/>
              </w:rPr>
              <w:t>负责人审核</w:t>
            </w:r>
          </w:p>
        </w:tc>
        <w:tc>
          <w:tcPr>
            <w:tcW w:w="2647" w:type="dxa"/>
            <w:tcBorders>
              <w:tl2br w:val="nil"/>
              <w:tr2bl w:val="nil"/>
            </w:tcBorders>
            <w:tcMar>
              <w:top w:w="28" w:type="dxa"/>
              <w:bottom w:w="28" w:type="dxa"/>
            </w:tcMar>
            <w:vAlign w:val="center"/>
          </w:tcPr>
          <w:p w14:paraId="31039064">
            <w:pPr>
              <w:widowControl/>
              <w:adjustRightInd w:val="0"/>
              <w:snapToGrid w:val="0"/>
              <w:ind w:firstLine="960" w:firstLineChars="400"/>
              <w:textAlignment w:val="center"/>
              <w:rPr>
                <w:rFonts w:eastAsia="宋体"/>
                <w:sz w:val="24"/>
                <w:szCs w:val="24"/>
              </w:rPr>
            </w:pPr>
            <w:r>
              <w:rPr>
                <w:rFonts w:hint="eastAsia" w:eastAsia="宋体"/>
                <w:sz w:val="24"/>
                <w:szCs w:val="24"/>
              </w:rPr>
              <w:t xml:space="preserve"> </w:t>
            </w:r>
          </w:p>
        </w:tc>
      </w:tr>
    </w:tbl>
    <w:p w14:paraId="1E8F6528">
      <w:pPr>
        <w:ind w:firstLine="0" w:firstLineChars="0"/>
      </w:pPr>
    </w:p>
    <w:p w14:paraId="7E28658D">
      <w:pPr>
        <w:snapToGrid w:val="0"/>
        <w:spacing w:line="360" w:lineRule="auto"/>
        <w:ind w:firstLine="720"/>
        <w:jc w:val="center"/>
        <w:rPr>
          <w:rFonts w:ascii="宋体" w:hAnsi="宋体" w:cs="宋体"/>
          <w:b/>
          <w:bCs/>
          <w:kern w:val="36"/>
          <w:sz w:val="36"/>
          <w:szCs w:val="36"/>
        </w:rPr>
      </w:pPr>
    </w:p>
    <w:p w14:paraId="6ECCD100">
      <w:pPr>
        <w:snapToGrid w:val="0"/>
        <w:spacing w:line="360" w:lineRule="auto"/>
        <w:ind w:firstLine="720"/>
        <w:jc w:val="center"/>
        <w:rPr>
          <w:b/>
          <w:bCs/>
          <w:kern w:val="36"/>
          <w:sz w:val="36"/>
          <w:szCs w:val="36"/>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start="1"/>
          <w:cols w:space="425" w:num="1"/>
          <w:docGrid w:type="lines" w:linePitch="312" w:charSpace="0"/>
        </w:sectPr>
      </w:pPr>
      <w:r>
        <w:rPr>
          <w:kern w:val="36"/>
          <w:sz w:val="36"/>
          <w:szCs w:val="36"/>
        </w:rPr>
        <w:t>202</w:t>
      </w:r>
      <w:r>
        <w:rPr>
          <w:rFonts w:hint="eastAsia"/>
          <w:kern w:val="36"/>
          <w:sz w:val="36"/>
          <w:szCs w:val="36"/>
          <w:lang w:val="en-US" w:eastAsia="zh-CN"/>
        </w:rPr>
        <w:t>5</w:t>
      </w:r>
      <w:r>
        <w:rPr>
          <w:b/>
          <w:bCs/>
          <w:kern w:val="36"/>
          <w:sz w:val="36"/>
          <w:szCs w:val="36"/>
        </w:rPr>
        <w:t>年</w:t>
      </w:r>
      <w:r>
        <w:rPr>
          <w:rFonts w:hint="eastAsia"/>
          <w:b/>
          <w:bCs/>
          <w:kern w:val="36"/>
          <w:sz w:val="36"/>
          <w:szCs w:val="36"/>
          <w:lang w:val="en-US" w:eastAsia="zh-CN"/>
        </w:rPr>
        <w:t>4</w:t>
      </w:r>
      <w:r>
        <w:rPr>
          <w:b/>
          <w:bCs/>
          <w:kern w:val="36"/>
          <w:sz w:val="36"/>
          <w:szCs w:val="36"/>
        </w:rPr>
        <w:t>月</w:t>
      </w:r>
    </w:p>
    <w:p w14:paraId="427AD3BA">
      <w:pPr>
        <w:snapToGrid w:val="0"/>
        <w:spacing w:line="360" w:lineRule="auto"/>
        <w:ind w:firstLine="0" w:firstLineChars="0"/>
        <w:rPr>
          <w:b/>
          <w:bCs/>
          <w:kern w:val="36"/>
          <w:sz w:val="36"/>
          <w:szCs w:val="36"/>
        </w:rPr>
      </w:pPr>
    </w:p>
    <w:sdt>
      <w:sdtPr>
        <w:rPr>
          <w:rFonts w:ascii="宋体" w:hAnsi="宋体" w:eastAsia="宋体"/>
          <w:sz w:val="21"/>
        </w:rPr>
        <w:id w:val="147451310"/>
        <w15:color w:val="DBDBDB"/>
        <w:docPartObj>
          <w:docPartGallery w:val="Table of Contents"/>
          <w:docPartUnique/>
        </w:docPartObj>
      </w:sdtPr>
      <w:sdtEndPr>
        <w:rPr>
          <w:rFonts w:hint="eastAsia" w:ascii="宋体" w:hAnsi="宋体" w:eastAsia="宋体" w:cs="宋体"/>
          <w:bCs/>
          <w:kern w:val="36"/>
          <w:sz w:val="21"/>
          <w:szCs w:val="36"/>
        </w:rPr>
      </w:sdtEndPr>
      <w:sdtContent>
        <w:p w14:paraId="7D19619B">
          <w:pPr>
            <w:spacing w:line="240" w:lineRule="auto"/>
            <w:ind w:firstLine="0" w:firstLineChars="0"/>
            <w:jc w:val="center"/>
            <w:rPr>
              <w:rFonts w:ascii="宋体" w:hAnsi="宋体" w:eastAsia="宋体"/>
              <w:sz w:val="21"/>
            </w:rPr>
          </w:pPr>
        </w:p>
        <w:p w14:paraId="51C26BBF">
          <w:pPr>
            <w:spacing w:line="240" w:lineRule="auto"/>
            <w:ind w:firstLine="0" w:firstLineChars="0"/>
            <w:jc w:val="center"/>
            <w:rPr>
              <w:rFonts w:ascii="黑体" w:hAnsi="黑体" w:eastAsia="黑体" w:cs="黑体"/>
              <w:sz w:val="32"/>
              <w:szCs w:val="32"/>
            </w:rPr>
          </w:pPr>
          <w:r>
            <w:rPr>
              <w:rFonts w:hint="eastAsia" w:ascii="黑体" w:hAnsi="黑体" w:eastAsia="黑体" w:cs="黑体"/>
              <w:sz w:val="32"/>
              <w:szCs w:val="32"/>
            </w:rPr>
            <w:t>目  录</w:t>
          </w:r>
        </w:p>
        <w:p w14:paraId="2AAC6291">
          <w:pPr>
            <w:pStyle w:val="10"/>
            <w:tabs>
              <w:tab w:val="right" w:leader="middleDot" w:pos="8306"/>
            </w:tabs>
            <w:spacing w:line="520" w:lineRule="exact"/>
            <w:ind w:firstLine="561" w:firstLineChars="266"/>
          </w:pPr>
          <w:r>
            <w:rPr>
              <w:rFonts w:hint="eastAsia" w:ascii="宋体" w:hAnsi="宋体" w:eastAsia="宋体" w:cs="宋体"/>
              <w:kern w:val="36"/>
              <w:sz w:val="21"/>
              <w:szCs w:val="36"/>
            </w:rPr>
            <w:fldChar w:fldCharType="begin"/>
          </w:r>
          <w:r>
            <w:rPr>
              <w:rFonts w:hint="eastAsia" w:ascii="宋体" w:hAnsi="宋体" w:eastAsia="宋体" w:cs="宋体"/>
              <w:kern w:val="36"/>
              <w:sz w:val="21"/>
              <w:szCs w:val="36"/>
            </w:rPr>
            <w:instrText xml:space="preserve">TOC \o "1-3" \h \u </w:instrText>
          </w:r>
          <w:r>
            <w:rPr>
              <w:rFonts w:hint="eastAsia" w:ascii="宋体" w:hAnsi="宋体" w:eastAsia="宋体" w:cs="宋体"/>
              <w:kern w:val="36"/>
              <w:sz w:val="21"/>
              <w:szCs w:val="36"/>
            </w:rPr>
            <w:fldChar w:fldCharType="separate"/>
          </w:r>
          <w:r>
            <w:fldChar w:fldCharType="begin"/>
          </w:r>
          <w:r>
            <w:instrText xml:space="preserve"> HYPERLINK \l "_Toc2179" </w:instrText>
          </w:r>
          <w:r>
            <w:fldChar w:fldCharType="separate"/>
          </w:r>
          <w:r>
            <w:rPr>
              <w:rFonts w:hint="eastAsia"/>
            </w:rPr>
            <w:t>一、课程基本信息</w:t>
          </w:r>
          <w:r>
            <w:tab/>
          </w:r>
          <w:r>
            <w:fldChar w:fldCharType="begin"/>
          </w:r>
          <w:r>
            <w:instrText xml:space="preserve"> PAGEREF _Toc2179 </w:instrText>
          </w:r>
          <w:r>
            <w:fldChar w:fldCharType="separate"/>
          </w:r>
          <w:r>
            <w:t>1</w:t>
          </w:r>
          <w:r>
            <w:fldChar w:fldCharType="end"/>
          </w:r>
          <w:r>
            <w:fldChar w:fldCharType="end"/>
          </w:r>
        </w:p>
        <w:p w14:paraId="324E28E5">
          <w:pPr>
            <w:pStyle w:val="10"/>
            <w:tabs>
              <w:tab w:val="right" w:leader="middleDot" w:pos="8306"/>
            </w:tabs>
            <w:spacing w:line="520" w:lineRule="exact"/>
            <w:ind w:firstLine="560"/>
          </w:pPr>
          <w:r>
            <w:fldChar w:fldCharType="begin"/>
          </w:r>
          <w:r>
            <w:instrText xml:space="preserve"> HYPERLINK \l "_Toc4255" </w:instrText>
          </w:r>
          <w:r>
            <w:fldChar w:fldCharType="separate"/>
          </w:r>
          <w:r>
            <w:rPr>
              <w:rFonts w:hint="eastAsia"/>
            </w:rPr>
            <w:t>二、课程任务</w:t>
          </w:r>
          <w:r>
            <w:tab/>
          </w:r>
          <w:r>
            <w:fldChar w:fldCharType="begin"/>
          </w:r>
          <w:r>
            <w:instrText xml:space="preserve"> PAGEREF _Toc4255 </w:instrText>
          </w:r>
          <w:r>
            <w:fldChar w:fldCharType="separate"/>
          </w:r>
          <w:r>
            <w:t>1</w:t>
          </w:r>
          <w:r>
            <w:fldChar w:fldCharType="end"/>
          </w:r>
          <w:r>
            <w:fldChar w:fldCharType="end"/>
          </w:r>
        </w:p>
        <w:p w14:paraId="7B83B952">
          <w:pPr>
            <w:pStyle w:val="10"/>
            <w:tabs>
              <w:tab w:val="right" w:leader="middleDot" w:pos="8306"/>
            </w:tabs>
            <w:spacing w:line="520" w:lineRule="exact"/>
            <w:ind w:firstLine="560"/>
          </w:pPr>
          <w:r>
            <w:fldChar w:fldCharType="begin"/>
          </w:r>
          <w:r>
            <w:instrText xml:space="preserve"> HYPERLINK \l "_Toc1651" </w:instrText>
          </w:r>
          <w:r>
            <w:fldChar w:fldCharType="separate"/>
          </w:r>
          <w:r>
            <w:rPr>
              <w:rFonts w:hint="eastAsia"/>
            </w:rPr>
            <w:t>三、课程目标</w:t>
          </w:r>
          <w:r>
            <w:tab/>
          </w:r>
          <w:r>
            <w:fldChar w:fldCharType="begin"/>
          </w:r>
          <w:r>
            <w:instrText xml:space="preserve"> PAGEREF _Toc1651 </w:instrText>
          </w:r>
          <w:r>
            <w:fldChar w:fldCharType="separate"/>
          </w:r>
          <w:r>
            <w:t>2</w:t>
          </w:r>
          <w:r>
            <w:fldChar w:fldCharType="end"/>
          </w:r>
          <w:r>
            <w:fldChar w:fldCharType="end"/>
          </w:r>
        </w:p>
        <w:p w14:paraId="076980B8">
          <w:pPr>
            <w:pStyle w:val="12"/>
            <w:tabs>
              <w:tab w:val="right" w:leader="middleDot" w:pos="8306"/>
            </w:tabs>
            <w:spacing w:line="520" w:lineRule="exact"/>
            <w:ind w:firstLine="480"/>
          </w:pPr>
          <w:r>
            <w:fldChar w:fldCharType="begin"/>
          </w:r>
          <w:r>
            <w:instrText xml:space="preserve"> HYPERLINK \l "_Toc1453" </w:instrText>
          </w:r>
          <w:r>
            <w:fldChar w:fldCharType="separate"/>
          </w:r>
          <w:r>
            <w:rPr>
              <w:rFonts w:hint="eastAsia"/>
            </w:rPr>
            <w:t>（一） 素质目标</w:t>
          </w:r>
          <w:r>
            <w:tab/>
          </w:r>
          <w:r>
            <w:fldChar w:fldCharType="begin"/>
          </w:r>
          <w:r>
            <w:instrText xml:space="preserve"> PAGEREF _Toc1453 </w:instrText>
          </w:r>
          <w:r>
            <w:fldChar w:fldCharType="separate"/>
          </w:r>
          <w:r>
            <w:t>2</w:t>
          </w:r>
          <w:r>
            <w:fldChar w:fldCharType="end"/>
          </w:r>
          <w:r>
            <w:fldChar w:fldCharType="end"/>
          </w:r>
        </w:p>
        <w:p w14:paraId="757BC4F8">
          <w:pPr>
            <w:pStyle w:val="12"/>
            <w:tabs>
              <w:tab w:val="right" w:leader="middleDot" w:pos="8306"/>
            </w:tabs>
            <w:spacing w:line="520" w:lineRule="exact"/>
            <w:ind w:firstLine="480"/>
          </w:pPr>
          <w:r>
            <w:fldChar w:fldCharType="begin"/>
          </w:r>
          <w:r>
            <w:instrText xml:space="preserve"> HYPERLINK \l "_Toc1104" </w:instrText>
          </w:r>
          <w:r>
            <w:fldChar w:fldCharType="separate"/>
          </w:r>
          <w:r>
            <w:rPr>
              <w:rFonts w:hint="eastAsia"/>
            </w:rPr>
            <w:t>（二） 知识目标</w:t>
          </w:r>
          <w:r>
            <w:tab/>
          </w:r>
          <w:r>
            <w:fldChar w:fldCharType="begin"/>
          </w:r>
          <w:r>
            <w:instrText xml:space="preserve"> PAGEREF _Toc1104 </w:instrText>
          </w:r>
          <w:r>
            <w:fldChar w:fldCharType="separate"/>
          </w:r>
          <w:r>
            <w:t>2</w:t>
          </w:r>
          <w:r>
            <w:fldChar w:fldCharType="end"/>
          </w:r>
          <w:r>
            <w:fldChar w:fldCharType="end"/>
          </w:r>
        </w:p>
        <w:p w14:paraId="28404BCA">
          <w:pPr>
            <w:pStyle w:val="12"/>
            <w:tabs>
              <w:tab w:val="right" w:leader="middleDot" w:pos="8306"/>
            </w:tabs>
            <w:spacing w:line="520" w:lineRule="exact"/>
            <w:ind w:firstLine="480"/>
          </w:pPr>
          <w:r>
            <w:fldChar w:fldCharType="begin"/>
          </w:r>
          <w:r>
            <w:instrText xml:space="preserve"> HYPERLINK \l "_Toc30755" </w:instrText>
          </w:r>
          <w:r>
            <w:fldChar w:fldCharType="separate"/>
          </w:r>
          <w:r>
            <w:rPr>
              <w:rFonts w:hint="eastAsia"/>
            </w:rPr>
            <w:t>（三） 能力目标</w:t>
          </w:r>
          <w:r>
            <w:tab/>
          </w:r>
          <w:r>
            <w:fldChar w:fldCharType="begin"/>
          </w:r>
          <w:r>
            <w:instrText xml:space="preserve"> PAGEREF _Toc30755 </w:instrText>
          </w:r>
          <w:r>
            <w:fldChar w:fldCharType="separate"/>
          </w:r>
          <w:r>
            <w:t>2</w:t>
          </w:r>
          <w:r>
            <w:fldChar w:fldCharType="end"/>
          </w:r>
          <w:r>
            <w:fldChar w:fldCharType="end"/>
          </w:r>
        </w:p>
        <w:p w14:paraId="45A85B3A">
          <w:pPr>
            <w:pStyle w:val="10"/>
            <w:tabs>
              <w:tab w:val="right" w:leader="middleDot" w:pos="8306"/>
            </w:tabs>
            <w:spacing w:line="520" w:lineRule="exact"/>
            <w:ind w:firstLine="560"/>
          </w:pPr>
          <w:r>
            <w:fldChar w:fldCharType="begin"/>
          </w:r>
          <w:r>
            <w:instrText xml:space="preserve"> HYPERLINK \l "_Toc24423" </w:instrText>
          </w:r>
          <w:r>
            <w:fldChar w:fldCharType="separate"/>
          </w:r>
          <w:r>
            <w:rPr>
              <w:rFonts w:hint="eastAsia"/>
            </w:rPr>
            <w:t>四、课程职业能力分析</w:t>
          </w:r>
          <w:r>
            <w:tab/>
          </w:r>
          <w:r>
            <w:fldChar w:fldCharType="begin"/>
          </w:r>
          <w:r>
            <w:instrText xml:space="preserve"> PAGEREF _Toc24423 </w:instrText>
          </w:r>
          <w:r>
            <w:fldChar w:fldCharType="separate"/>
          </w:r>
          <w:r>
            <w:t>3</w:t>
          </w:r>
          <w:r>
            <w:fldChar w:fldCharType="end"/>
          </w:r>
          <w:r>
            <w:fldChar w:fldCharType="end"/>
          </w:r>
        </w:p>
        <w:p w14:paraId="66C0878D">
          <w:pPr>
            <w:pStyle w:val="10"/>
            <w:tabs>
              <w:tab w:val="right" w:leader="middleDot" w:pos="8306"/>
            </w:tabs>
            <w:spacing w:line="520" w:lineRule="exact"/>
            <w:ind w:firstLine="560"/>
          </w:pPr>
          <w:r>
            <w:fldChar w:fldCharType="begin"/>
          </w:r>
          <w:r>
            <w:instrText xml:space="preserve"> HYPERLINK \l "_Toc27541" </w:instrText>
          </w:r>
          <w:r>
            <w:fldChar w:fldCharType="separate"/>
          </w:r>
          <w:r>
            <w:rPr>
              <w:rFonts w:hint="eastAsia"/>
            </w:rPr>
            <w:t>五、课程设计思路</w:t>
          </w:r>
          <w:r>
            <w:tab/>
          </w:r>
          <w:r>
            <w:fldChar w:fldCharType="begin"/>
          </w:r>
          <w:r>
            <w:instrText xml:space="preserve"> PAGEREF _Toc27541 </w:instrText>
          </w:r>
          <w:r>
            <w:fldChar w:fldCharType="separate"/>
          </w:r>
          <w:r>
            <w:t>6</w:t>
          </w:r>
          <w:r>
            <w:fldChar w:fldCharType="end"/>
          </w:r>
          <w:r>
            <w:fldChar w:fldCharType="end"/>
          </w:r>
        </w:p>
        <w:p w14:paraId="031D1101">
          <w:pPr>
            <w:pStyle w:val="10"/>
            <w:tabs>
              <w:tab w:val="right" w:leader="middleDot" w:pos="8306"/>
            </w:tabs>
            <w:spacing w:line="520" w:lineRule="exact"/>
            <w:ind w:firstLine="560"/>
          </w:pPr>
          <w:r>
            <w:fldChar w:fldCharType="begin"/>
          </w:r>
          <w:r>
            <w:instrText xml:space="preserve"> HYPERLINK \l "_Toc8844" </w:instrText>
          </w:r>
          <w:r>
            <w:fldChar w:fldCharType="separate"/>
          </w:r>
          <w:r>
            <w:rPr>
              <w:rFonts w:hint="eastAsia"/>
            </w:rPr>
            <w:t>六、课程结构与内容</w:t>
          </w:r>
          <w:r>
            <w:tab/>
          </w:r>
          <w:r>
            <w:fldChar w:fldCharType="begin"/>
          </w:r>
          <w:r>
            <w:instrText xml:space="preserve"> PAGEREF _Toc8844 </w:instrText>
          </w:r>
          <w:r>
            <w:fldChar w:fldCharType="separate"/>
          </w:r>
          <w:r>
            <w:t>1</w:t>
          </w:r>
          <w:r>
            <w:fldChar w:fldCharType="end"/>
          </w:r>
          <w:r>
            <w:fldChar w:fldCharType="end"/>
          </w:r>
        </w:p>
        <w:p w14:paraId="0D22129B">
          <w:pPr>
            <w:pStyle w:val="10"/>
            <w:tabs>
              <w:tab w:val="right" w:leader="middleDot" w:pos="8306"/>
            </w:tabs>
            <w:spacing w:line="520" w:lineRule="exact"/>
            <w:ind w:firstLine="560"/>
          </w:pPr>
          <w:r>
            <w:fldChar w:fldCharType="begin"/>
          </w:r>
          <w:r>
            <w:instrText xml:space="preserve"> HYPERLINK \l "_Toc18126" </w:instrText>
          </w:r>
          <w:r>
            <w:fldChar w:fldCharType="separate"/>
          </w:r>
          <w:r>
            <w:rPr>
              <w:rFonts w:hint="eastAsia"/>
            </w:rPr>
            <w:t>七、学习评价</w:t>
          </w:r>
          <w:r>
            <w:tab/>
          </w:r>
          <w:r>
            <w:fldChar w:fldCharType="begin"/>
          </w:r>
          <w:r>
            <w:instrText xml:space="preserve"> PAGEREF _Toc18126 </w:instrText>
          </w:r>
          <w:r>
            <w:fldChar w:fldCharType="separate"/>
          </w:r>
          <w:r>
            <w:t>8</w:t>
          </w:r>
          <w:r>
            <w:fldChar w:fldCharType="end"/>
          </w:r>
          <w:r>
            <w:fldChar w:fldCharType="end"/>
          </w:r>
        </w:p>
        <w:p w14:paraId="6F308379">
          <w:pPr>
            <w:pStyle w:val="10"/>
            <w:tabs>
              <w:tab w:val="right" w:leader="middleDot" w:pos="8306"/>
            </w:tabs>
            <w:spacing w:line="520" w:lineRule="exact"/>
            <w:ind w:firstLine="560"/>
          </w:pPr>
          <w:r>
            <w:fldChar w:fldCharType="begin"/>
          </w:r>
          <w:r>
            <w:instrText xml:space="preserve"> HYPERLINK \l "_Toc11140" </w:instrText>
          </w:r>
          <w:r>
            <w:fldChar w:fldCharType="separate"/>
          </w:r>
          <w:r>
            <w:rPr>
              <w:rFonts w:hint="eastAsia"/>
            </w:rPr>
            <w:t>八、教学资源</w:t>
          </w:r>
          <w:r>
            <w:tab/>
          </w:r>
          <w:r>
            <w:fldChar w:fldCharType="begin"/>
          </w:r>
          <w:r>
            <w:instrText xml:space="preserve"> PAGEREF _Toc11140 </w:instrText>
          </w:r>
          <w:r>
            <w:fldChar w:fldCharType="separate"/>
          </w:r>
          <w:r>
            <w:t>9</w:t>
          </w:r>
          <w:r>
            <w:fldChar w:fldCharType="end"/>
          </w:r>
          <w:r>
            <w:fldChar w:fldCharType="end"/>
          </w:r>
        </w:p>
        <w:p w14:paraId="3330AE83">
          <w:pPr>
            <w:pStyle w:val="12"/>
            <w:tabs>
              <w:tab w:val="right" w:leader="middleDot" w:pos="8306"/>
            </w:tabs>
            <w:spacing w:line="520" w:lineRule="exact"/>
            <w:ind w:firstLine="480"/>
          </w:pPr>
          <w:r>
            <w:fldChar w:fldCharType="begin"/>
          </w:r>
          <w:r>
            <w:instrText xml:space="preserve"> HYPERLINK \l "_Toc16925" </w:instrText>
          </w:r>
          <w:r>
            <w:fldChar w:fldCharType="separate"/>
          </w:r>
          <w:r>
            <w:rPr>
              <w:rFonts w:hint="eastAsia"/>
            </w:rPr>
            <w:t>（一）主要参考教材</w:t>
          </w:r>
          <w:r>
            <w:tab/>
          </w:r>
          <w:r>
            <w:fldChar w:fldCharType="begin"/>
          </w:r>
          <w:r>
            <w:instrText xml:space="preserve"> PAGEREF _Toc16925 </w:instrText>
          </w:r>
          <w:r>
            <w:fldChar w:fldCharType="separate"/>
          </w:r>
          <w:r>
            <w:t>9</w:t>
          </w:r>
          <w:r>
            <w:fldChar w:fldCharType="end"/>
          </w:r>
          <w:r>
            <w:fldChar w:fldCharType="end"/>
          </w:r>
        </w:p>
        <w:p w14:paraId="6DA3A1FE">
          <w:pPr>
            <w:pStyle w:val="12"/>
            <w:tabs>
              <w:tab w:val="right" w:leader="middleDot" w:pos="8306"/>
            </w:tabs>
            <w:spacing w:line="520" w:lineRule="exact"/>
            <w:ind w:firstLine="480"/>
          </w:pPr>
          <w:r>
            <w:fldChar w:fldCharType="begin"/>
          </w:r>
          <w:r>
            <w:instrText xml:space="preserve"> HYPERLINK \l "_Toc17555" </w:instrText>
          </w:r>
          <w:r>
            <w:fldChar w:fldCharType="separate"/>
          </w:r>
          <w:r>
            <w:rPr>
              <w:rFonts w:hint="eastAsia"/>
            </w:rPr>
            <w:t>（二）其他参考资料</w:t>
          </w:r>
          <w:r>
            <w:tab/>
          </w:r>
          <w:r>
            <w:fldChar w:fldCharType="begin"/>
          </w:r>
          <w:r>
            <w:instrText xml:space="preserve"> PAGEREF _Toc17555 </w:instrText>
          </w:r>
          <w:r>
            <w:fldChar w:fldCharType="separate"/>
          </w:r>
          <w:r>
            <w:t>9</w:t>
          </w:r>
          <w:r>
            <w:fldChar w:fldCharType="end"/>
          </w:r>
          <w:r>
            <w:fldChar w:fldCharType="end"/>
          </w:r>
        </w:p>
        <w:p w14:paraId="398A7546">
          <w:pPr>
            <w:pStyle w:val="12"/>
            <w:tabs>
              <w:tab w:val="right" w:leader="middleDot" w:pos="8306"/>
            </w:tabs>
            <w:spacing w:line="520" w:lineRule="exact"/>
            <w:ind w:firstLine="480"/>
          </w:pPr>
          <w:r>
            <w:fldChar w:fldCharType="begin"/>
          </w:r>
          <w:r>
            <w:instrText xml:space="preserve"> HYPERLINK \l "_Toc27934" </w:instrText>
          </w:r>
          <w:r>
            <w:fldChar w:fldCharType="separate"/>
          </w:r>
          <w:r>
            <w:rPr>
              <w:rFonts w:hint="eastAsia"/>
            </w:rPr>
            <w:t>（三）实训条件</w:t>
          </w:r>
          <w:r>
            <w:tab/>
          </w:r>
          <w:r>
            <w:fldChar w:fldCharType="begin"/>
          </w:r>
          <w:r>
            <w:instrText xml:space="preserve"> PAGEREF _Toc27934 </w:instrText>
          </w:r>
          <w:r>
            <w:fldChar w:fldCharType="separate"/>
          </w:r>
          <w:r>
            <w:t>10</w:t>
          </w:r>
          <w:r>
            <w:fldChar w:fldCharType="end"/>
          </w:r>
          <w:r>
            <w:fldChar w:fldCharType="end"/>
          </w:r>
        </w:p>
        <w:p w14:paraId="0FC1DCC5">
          <w:pPr>
            <w:pStyle w:val="12"/>
            <w:tabs>
              <w:tab w:val="right" w:leader="middleDot" w:pos="8306"/>
            </w:tabs>
            <w:spacing w:line="520" w:lineRule="exact"/>
            <w:ind w:firstLine="480"/>
          </w:pPr>
          <w:r>
            <w:fldChar w:fldCharType="begin"/>
          </w:r>
          <w:r>
            <w:instrText xml:space="preserve"> HYPERLINK \l "_Toc7079" </w:instrText>
          </w:r>
          <w:r>
            <w:fldChar w:fldCharType="separate"/>
          </w:r>
          <w:r>
            <w:rPr>
              <w:rFonts w:hint="eastAsia"/>
            </w:rPr>
            <w:t>（四）信息化教学资源</w:t>
          </w:r>
          <w:r>
            <w:tab/>
          </w:r>
          <w:r>
            <w:fldChar w:fldCharType="begin"/>
          </w:r>
          <w:r>
            <w:instrText xml:space="preserve"> PAGEREF _Toc7079 </w:instrText>
          </w:r>
          <w:r>
            <w:fldChar w:fldCharType="separate"/>
          </w:r>
          <w:r>
            <w:t>10</w:t>
          </w:r>
          <w:r>
            <w:fldChar w:fldCharType="end"/>
          </w:r>
          <w:r>
            <w:fldChar w:fldCharType="end"/>
          </w:r>
        </w:p>
        <w:p w14:paraId="1B3F18FB">
          <w:pPr>
            <w:pStyle w:val="10"/>
            <w:tabs>
              <w:tab w:val="right" w:leader="middleDot" w:pos="8306"/>
            </w:tabs>
            <w:spacing w:line="520" w:lineRule="exact"/>
            <w:ind w:firstLine="560"/>
          </w:pPr>
          <w:r>
            <w:fldChar w:fldCharType="begin"/>
          </w:r>
          <w:r>
            <w:instrText xml:space="preserve"> HYPERLINK \l "_Toc12227" </w:instrText>
          </w:r>
          <w:r>
            <w:fldChar w:fldCharType="separate"/>
          </w:r>
          <w:r>
            <w:rPr>
              <w:rFonts w:hint="eastAsia"/>
            </w:rPr>
            <w:t>九、师资要求</w:t>
          </w:r>
          <w:r>
            <w:tab/>
          </w:r>
          <w:r>
            <w:fldChar w:fldCharType="begin"/>
          </w:r>
          <w:r>
            <w:instrText xml:space="preserve"> PAGEREF _Toc12227 </w:instrText>
          </w:r>
          <w:r>
            <w:fldChar w:fldCharType="separate"/>
          </w:r>
          <w:r>
            <w:t>10</w:t>
          </w:r>
          <w:r>
            <w:fldChar w:fldCharType="end"/>
          </w:r>
          <w:r>
            <w:fldChar w:fldCharType="end"/>
          </w:r>
        </w:p>
        <w:p w14:paraId="5EAE1D7D">
          <w:pPr>
            <w:pStyle w:val="10"/>
            <w:tabs>
              <w:tab w:val="right" w:leader="middleDot" w:pos="8306"/>
            </w:tabs>
            <w:spacing w:line="520" w:lineRule="exact"/>
            <w:ind w:firstLine="560"/>
          </w:pPr>
          <w:r>
            <w:fldChar w:fldCharType="begin"/>
          </w:r>
          <w:r>
            <w:instrText xml:space="preserve"> HYPERLINK \l "_Toc3001" </w:instrText>
          </w:r>
          <w:r>
            <w:fldChar w:fldCharType="separate"/>
          </w:r>
          <w:r>
            <w:rPr>
              <w:rFonts w:hint="eastAsia"/>
            </w:rPr>
            <w:t>十、其它说明</w:t>
          </w:r>
          <w:r>
            <w:tab/>
          </w:r>
          <w:r>
            <w:fldChar w:fldCharType="begin"/>
          </w:r>
          <w:r>
            <w:instrText xml:space="preserve"> PAGEREF _Toc3001 </w:instrText>
          </w:r>
          <w:r>
            <w:fldChar w:fldCharType="separate"/>
          </w:r>
          <w:r>
            <w:t>10</w:t>
          </w:r>
          <w:r>
            <w:fldChar w:fldCharType="end"/>
          </w:r>
          <w:r>
            <w:fldChar w:fldCharType="end"/>
          </w:r>
        </w:p>
        <w:p w14:paraId="58AE291D">
          <w:pPr>
            <w:snapToGrid w:val="0"/>
            <w:spacing w:line="520" w:lineRule="exact"/>
            <w:ind w:firstLine="560"/>
            <w:rPr>
              <w:rFonts w:ascii="宋体" w:hAnsi="宋体" w:eastAsia="宋体" w:cs="宋体"/>
              <w:bCs/>
              <w:kern w:val="36"/>
              <w:sz w:val="21"/>
              <w:szCs w:val="36"/>
            </w:rPr>
          </w:pPr>
          <w:r>
            <w:rPr>
              <w:rFonts w:hint="eastAsia" w:ascii="宋体" w:hAnsi="宋体" w:eastAsia="宋体" w:cs="宋体"/>
              <w:bCs/>
              <w:kern w:val="36"/>
              <w:szCs w:val="36"/>
            </w:rPr>
            <w:fldChar w:fldCharType="end"/>
          </w:r>
        </w:p>
        <w:p w14:paraId="2C6C1C2C">
          <w:pPr>
            <w:snapToGrid w:val="0"/>
            <w:spacing w:line="360" w:lineRule="auto"/>
            <w:ind w:firstLine="420"/>
            <w:rPr>
              <w:rFonts w:ascii="宋体" w:hAnsi="宋体" w:cs="宋体"/>
              <w:b/>
              <w:bCs/>
              <w:kern w:val="36"/>
              <w:sz w:val="36"/>
              <w:szCs w:val="36"/>
            </w:rPr>
            <w:sectPr>
              <w:footerReference r:id="rId11" w:type="default"/>
              <w:pgSz w:w="11906" w:h="16838"/>
              <w:pgMar w:top="1440" w:right="1800" w:bottom="1440" w:left="1800" w:header="851" w:footer="992" w:gutter="0"/>
              <w:pgNumType w:start="1"/>
              <w:cols w:space="425" w:num="1"/>
              <w:docGrid w:type="lines" w:linePitch="312" w:charSpace="0"/>
            </w:sectPr>
          </w:pPr>
        </w:p>
      </w:sdtContent>
    </w:sdt>
    <w:p w14:paraId="4A818745">
      <w:pPr>
        <w:pStyle w:val="2"/>
        <w:ind w:firstLine="653"/>
      </w:pPr>
      <w:bookmarkStart w:id="0" w:name="_Toc502337258"/>
      <w:bookmarkStart w:id="1" w:name="_Toc2179"/>
      <w:bookmarkStart w:id="2" w:name="_Toc10917"/>
      <w:bookmarkStart w:id="3" w:name="_Toc16819"/>
      <w:bookmarkStart w:id="4" w:name="_Toc2469"/>
      <w:bookmarkStart w:id="5" w:name="_Toc8847"/>
      <w:r>
        <w:rPr>
          <w:rFonts w:hint="eastAsia"/>
        </w:rPr>
        <w:t>一、课程</w:t>
      </w:r>
      <w:bookmarkEnd w:id="0"/>
      <w:r>
        <w:rPr>
          <w:rFonts w:hint="eastAsia"/>
        </w:rPr>
        <w:t>基本信息</w:t>
      </w:r>
      <w:bookmarkEnd w:id="1"/>
      <w:bookmarkEnd w:id="2"/>
    </w:p>
    <w:p w14:paraId="662F4040">
      <w:pPr>
        <w:ind w:firstLine="0" w:firstLineChars="0"/>
        <w:jc w:val="center"/>
        <w:rPr>
          <w:rFonts w:ascii="仿宋_GB2312" w:hAnsi="仿宋_GB2312" w:cs="仿宋_GB2312"/>
          <w:b/>
          <w:bCs/>
          <w:sz w:val="24"/>
          <w:szCs w:val="21"/>
        </w:rPr>
      </w:pPr>
      <w:r>
        <w:rPr>
          <w:rFonts w:hint="eastAsia" w:ascii="仿宋_GB2312" w:hAnsi="仿宋_GB2312" w:cs="仿宋_GB2312"/>
          <w:b/>
          <w:bCs/>
          <w:sz w:val="24"/>
          <w:szCs w:val="21"/>
        </w:rPr>
        <w:t>表1. 课程基本信息表</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450"/>
        <w:gridCol w:w="1615"/>
        <w:gridCol w:w="2506"/>
      </w:tblGrid>
      <w:tr w14:paraId="2DEFF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12" w:space="0"/>
              <w:left w:val="single" w:color="auto" w:sz="12" w:space="0"/>
              <w:bottom w:val="single" w:color="auto" w:sz="4" w:space="0"/>
              <w:right w:val="single" w:color="auto" w:sz="4" w:space="0"/>
            </w:tcBorders>
            <w:vAlign w:val="center"/>
          </w:tcPr>
          <w:p w14:paraId="3DC0BD74">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课程名称</w:t>
            </w:r>
          </w:p>
        </w:tc>
        <w:tc>
          <w:tcPr>
            <w:tcW w:w="2450" w:type="dxa"/>
            <w:tcBorders>
              <w:top w:val="single" w:color="auto" w:sz="12" w:space="0"/>
              <w:left w:val="single" w:color="auto" w:sz="4" w:space="0"/>
              <w:bottom w:val="single" w:color="auto" w:sz="4" w:space="0"/>
              <w:right w:val="single" w:color="auto" w:sz="4" w:space="0"/>
            </w:tcBorders>
            <w:vAlign w:val="center"/>
          </w:tcPr>
          <w:p w14:paraId="2630DBB1">
            <w:pPr>
              <w:ind w:firstLine="0" w:firstLineChars="0"/>
              <w:jc w:val="center"/>
              <w:rPr>
                <w:rFonts w:hint="eastAsia" w:eastAsia="仿宋_GB2312"/>
                <w:sz w:val="24"/>
                <w:szCs w:val="21"/>
                <w:lang w:val="en-US" w:eastAsia="zh-CN"/>
              </w:rPr>
            </w:pPr>
            <w:r>
              <w:rPr>
                <w:rFonts w:hint="eastAsia"/>
                <w:sz w:val="24"/>
                <w:szCs w:val="21"/>
                <w:lang w:val="en-US" w:eastAsia="zh-CN"/>
              </w:rPr>
              <w:t>会计基础</w:t>
            </w:r>
          </w:p>
        </w:tc>
        <w:tc>
          <w:tcPr>
            <w:tcW w:w="1615" w:type="dxa"/>
            <w:tcBorders>
              <w:top w:val="single" w:color="auto" w:sz="12" w:space="0"/>
              <w:left w:val="single" w:color="auto" w:sz="4" w:space="0"/>
              <w:bottom w:val="single" w:color="auto" w:sz="4" w:space="0"/>
              <w:right w:val="single" w:color="auto" w:sz="4" w:space="0"/>
            </w:tcBorders>
            <w:vAlign w:val="center"/>
          </w:tcPr>
          <w:p w14:paraId="3B68D2E4">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课程代码</w:t>
            </w:r>
          </w:p>
        </w:tc>
        <w:tc>
          <w:tcPr>
            <w:tcW w:w="2506" w:type="dxa"/>
            <w:tcBorders>
              <w:top w:val="single" w:color="auto" w:sz="12" w:space="0"/>
              <w:left w:val="single" w:color="auto" w:sz="4" w:space="0"/>
              <w:bottom w:val="single" w:color="auto" w:sz="4" w:space="0"/>
              <w:right w:val="single" w:color="auto" w:sz="12" w:space="0"/>
            </w:tcBorders>
            <w:vAlign w:val="center"/>
          </w:tcPr>
          <w:p w14:paraId="3F6F5A82">
            <w:pPr>
              <w:ind w:firstLine="0" w:firstLineChars="0"/>
              <w:jc w:val="center"/>
              <w:rPr>
                <w:sz w:val="24"/>
                <w:szCs w:val="21"/>
              </w:rPr>
            </w:pPr>
          </w:p>
        </w:tc>
      </w:tr>
      <w:tr w14:paraId="67451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957EADC">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课程类别</w:t>
            </w:r>
          </w:p>
        </w:tc>
        <w:tc>
          <w:tcPr>
            <w:tcW w:w="2450" w:type="dxa"/>
            <w:tcBorders>
              <w:top w:val="single" w:color="auto" w:sz="4" w:space="0"/>
              <w:left w:val="single" w:color="auto" w:sz="4" w:space="0"/>
              <w:bottom w:val="single" w:color="auto" w:sz="4" w:space="0"/>
              <w:right w:val="single" w:color="auto" w:sz="4" w:space="0"/>
            </w:tcBorders>
            <w:vAlign w:val="center"/>
          </w:tcPr>
          <w:p w14:paraId="6CD9DCFA">
            <w:pPr>
              <w:ind w:firstLine="0" w:firstLineChars="0"/>
              <w:jc w:val="center"/>
              <w:rPr>
                <w:sz w:val="24"/>
                <w:szCs w:val="21"/>
              </w:rPr>
            </w:pPr>
            <w:r>
              <w:rPr>
                <w:rFonts w:hint="eastAsia"/>
                <w:sz w:val="24"/>
                <w:szCs w:val="21"/>
              </w:rPr>
              <w:t xml:space="preserve">□公共课  </w:t>
            </w: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专业课</w:t>
            </w:r>
          </w:p>
        </w:tc>
        <w:tc>
          <w:tcPr>
            <w:tcW w:w="1615" w:type="dxa"/>
            <w:tcBorders>
              <w:top w:val="single" w:color="auto" w:sz="4" w:space="0"/>
              <w:left w:val="single" w:color="auto" w:sz="4" w:space="0"/>
              <w:bottom w:val="single" w:color="auto" w:sz="4" w:space="0"/>
              <w:right w:val="single" w:color="auto" w:sz="4" w:space="0"/>
            </w:tcBorders>
            <w:vAlign w:val="center"/>
          </w:tcPr>
          <w:p w14:paraId="7CFF419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课程性质</w:t>
            </w:r>
          </w:p>
        </w:tc>
        <w:tc>
          <w:tcPr>
            <w:tcW w:w="2506" w:type="dxa"/>
            <w:tcBorders>
              <w:top w:val="single" w:color="auto" w:sz="4" w:space="0"/>
              <w:left w:val="single" w:color="auto" w:sz="4" w:space="0"/>
              <w:bottom w:val="single" w:color="auto" w:sz="4" w:space="0"/>
              <w:right w:val="single" w:color="auto" w:sz="12" w:space="0"/>
            </w:tcBorders>
            <w:vAlign w:val="center"/>
          </w:tcPr>
          <w:p w14:paraId="6784A89B">
            <w:pPr>
              <w:ind w:firstLine="0" w:firstLineChars="0"/>
              <w:jc w:val="left"/>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必修□限选□任选</w:t>
            </w:r>
          </w:p>
        </w:tc>
      </w:tr>
      <w:tr w14:paraId="619DE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61CE6A0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时</w:t>
            </w:r>
          </w:p>
        </w:tc>
        <w:tc>
          <w:tcPr>
            <w:tcW w:w="2450" w:type="dxa"/>
            <w:tcBorders>
              <w:top w:val="single" w:color="auto" w:sz="4" w:space="0"/>
              <w:left w:val="single" w:color="auto" w:sz="4" w:space="0"/>
              <w:bottom w:val="single" w:color="auto" w:sz="4" w:space="0"/>
              <w:right w:val="single" w:color="auto" w:sz="4" w:space="0"/>
            </w:tcBorders>
            <w:vAlign w:val="center"/>
          </w:tcPr>
          <w:p w14:paraId="46C7141E">
            <w:pPr>
              <w:ind w:firstLine="0" w:firstLineChars="0"/>
              <w:jc w:val="center"/>
              <w:rPr>
                <w:rFonts w:hint="default" w:eastAsia="仿宋_GB2312"/>
                <w:sz w:val="24"/>
                <w:szCs w:val="21"/>
                <w:lang w:val="en-US" w:eastAsia="zh-CN"/>
              </w:rPr>
            </w:pPr>
            <w:r>
              <w:rPr>
                <w:rFonts w:hint="eastAsia"/>
                <w:sz w:val="24"/>
                <w:szCs w:val="21"/>
                <w:lang w:val="en-US" w:eastAsia="zh-CN"/>
              </w:rPr>
              <w:t>32</w:t>
            </w:r>
          </w:p>
        </w:tc>
        <w:tc>
          <w:tcPr>
            <w:tcW w:w="1615" w:type="dxa"/>
            <w:tcBorders>
              <w:top w:val="single" w:color="auto" w:sz="4" w:space="0"/>
              <w:left w:val="single" w:color="auto" w:sz="4" w:space="0"/>
              <w:bottom w:val="single" w:color="auto" w:sz="4" w:space="0"/>
              <w:right w:val="single" w:color="auto" w:sz="4" w:space="0"/>
            </w:tcBorders>
            <w:vAlign w:val="center"/>
          </w:tcPr>
          <w:p w14:paraId="5E5BA0DB">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学   分</w:t>
            </w:r>
          </w:p>
        </w:tc>
        <w:tc>
          <w:tcPr>
            <w:tcW w:w="2506" w:type="dxa"/>
            <w:tcBorders>
              <w:top w:val="single" w:color="auto" w:sz="4" w:space="0"/>
              <w:left w:val="single" w:color="auto" w:sz="4" w:space="0"/>
              <w:bottom w:val="single" w:color="auto" w:sz="4" w:space="0"/>
              <w:right w:val="single" w:color="auto" w:sz="12" w:space="0"/>
            </w:tcBorders>
            <w:vAlign w:val="center"/>
          </w:tcPr>
          <w:p w14:paraId="7C36E937">
            <w:pPr>
              <w:ind w:firstLine="0" w:firstLineChars="0"/>
              <w:jc w:val="center"/>
              <w:rPr>
                <w:sz w:val="24"/>
                <w:szCs w:val="21"/>
              </w:rPr>
            </w:pPr>
          </w:p>
        </w:tc>
      </w:tr>
      <w:tr w14:paraId="12B53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01972E73">
            <w:pPr>
              <w:ind w:firstLine="0" w:firstLineChars="0"/>
              <w:rPr>
                <w:rFonts w:ascii="仿宋_GB2312" w:hAnsi="仿宋_GB2312" w:cs="仿宋_GB2312"/>
                <w:b/>
                <w:bCs/>
                <w:sz w:val="24"/>
                <w:szCs w:val="24"/>
              </w:rPr>
            </w:pPr>
            <w:r>
              <w:rPr>
                <w:rFonts w:hint="eastAsia" w:ascii="仿宋_GB2312" w:hAnsi="仿宋_GB2312" w:cs="仿宋_GB2312"/>
                <w:b/>
                <w:bCs/>
                <w:sz w:val="24"/>
                <w:szCs w:val="24"/>
              </w:rPr>
              <w:t>是否专业核心课</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1FDD954C">
            <w:pPr>
              <w:ind w:firstLine="0" w:firstLineChars="0"/>
              <w:jc w:val="center"/>
              <w:rPr>
                <w:sz w:val="24"/>
                <w:szCs w:val="21"/>
              </w:rPr>
            </w:pPr>
            <w:r>
              <w:rPr>
                <w:sz w:val="24"/>
                <w:szCs w:val="21"/>
              </w:rPr>
              <w:fldChar w:fldCharType="begin"/>
            </w:r>
            <w:r>
              <w:rPr>
                <w:sz w:val="24"/>
                <w:szCs w:val="21"/>
              </w:rPr>
              <w:instrText xml:space="preserve"> </w:instrText>
            </w:r>
            <w:r>
              <w:rPr>
                <w:rFonts w:hint="eastAsia"/>
                <w:sz w:val="24"/>
                <w:szCs w:val="21"/>
              </w:rPr>
              <w:instrText xml:space="preserve">eq \o\ac(□)</w:instrText>
            </w:r>
            <w:r>
              <w:rPr>
                <w:sz w:val="24"/>
                <w:szCs w:val="21"/>
              </w:rPr>
              <w:fldChar w:fldCharType="end"/>
            </w:r>
            <w:r>
              <w:rPr>
                <w:rFonts w:hint="eastAsia"/>
                <w:sz w:val="24"/>
                <w:szCs w:val="21"/>
              </w:rPr>
              <w:t>是             □否</w:t>
            </w:r>
          </w:p>
        </w:tc>
      </w:tr>
      <w:tr w14:paraId="4DCAA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4DC53AB3">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授课专业</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2269BED5">
            <w:pPr>
              <w:ind w:firstLine="0" w:firstLineChars="0"/>
              <w:jc w:val="center"/>
              <w:rPr>
                <w:rFonts w:hint="default" w:eastAsia="仿宋_GB2312"/>
                <w:sz w:val="24"/>
                <w:szCs w:val="21"/>
                <w:lang w:val="en-US" w:eastAsia="zh-CN"/>
              </w:rPr>
            </w:pPr>
            <w:r>
              <w:rPr>
                <w:rFonts w:hint="eastAsia"/>
                <w:sz w:val="24"/>
                <w:szCs w:val="21"/>
                <w:lang w:val="en-US" w:eastAsia="zh-CN"/>
              </w:rPr>
              <w:t>大数据会计</w:t>
            </w:r>
          </w:p>
        </w:tc>
      </w:tr>
      <w:tr w14:paraId="1D8A3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1" w:type="dxa"/>
            <w:tcBorders>
              <w:top w:val="single" w:color="auto" w:sz="4" w:space="0"/>
              <w:left w:val="single" w:color="auto" w:sz="12" w:space="0"/>
              <w:bottom w:val="single" w:color="auto" w:sz="4" w:space="0"/>
              <w:right w:val="single" w:color="auto" w:sz="4" w:space="0"/>
            </w:tcBorders>
            <w:vAlign w:val="center"/>
          </w:tcPr>
          <w:p w14:paraId="73458A2A">
            <w:pPr>
              <w:ind w:firstLine="0" w:firstLineChars="0"/>
              <w:jc w:val="center"/>
              <w:rPr>
                <w:rFonts w:ascii="仿宋_GB2312" w:hAnsi="仿宋_GB2312" w:cs="仿宋_GB2312"/>
                <w:b/>
                <w:bCs/>
                <w:sz w:val="24"/>
                <w:szCs w:val="24"/>
              </w:rPr>
            </w:pPr>
            <w:r>
              <w:rPr>
                <w:rFonts w:hint="eastAsia" w:ascii="仿宋_GB2312" w:hAnsi="仿宋_GB2312" w:cs="仿宋_GB2312"/>
                <w:b/>
                <w:bCs/>
                <w:sz w:val="24"/>
                <w:szCs w:val="24"/>
              </w:rPr>
              <w:t>前置课程</w:t>
            </w:r>
          </w:p>
        </w:tc>
        <w:tc>
          <w:tcPr>
            <w:tcW w:w="6571" w:type="dxa"/>
            <w:gridSpan w:val="3"/>
            <w:tcBorders>
              <w:top w:val="single" w:color="auto" w:sz="4" w:space="0"/>
              <w:left w:val="single" w:color="auto" w:sz="4" w:space="0"/>
              <w:bottom w:val="single" w:color="auto" w:sz="4" w:space="0"/>
              <w:right w:val="single" w:color="auto" w:sz="12" w:space="0"/>
            </w:tcBorders>
            <w:vAlign w:val="center"/>
          </w:tcPr>
          <w:p w14:paraId="4DD272C8">
            <w:pPr>
              <w:ind w:firstLine="0" w:firstLineChars="0"/>
              <w:jc w:val="center"/>
              <w:rPr>
                <w:sz w:val="24"/>
                <w:szCs w:val="21"/>
              </w:rPr>
            </w:pPr>
          </w:p>
        </w:tc>
      </w:tr>
    </w:tbl>
    <w:p w14:paraId="596DFAC2">
      <w:pPr>
        <w:pStyle w:val="2"/>
        <w:numPr>
          <w:ilvl w:val="0"/>
          <w:numId w:val="1"/>
        </w:numPr>
        <w:ind w:firstLine="653"/>
      </w:pPr>
      <w:bookmarkStart w:id="6" w:name="_Toc4255"/>
      <w:bookmarkStart w:id="7" w:name="_Toc502337262"/>
      <w:bookmarkStart w:id="8" w:name="_Toc30964"/>
      <w:r>
        <w:rPr>
          <w:rFonts w:hint="eastAsia"/>
        </w:rPr>
        <w:t>课程任务</w:t>
      </w:r>
      <w:bookmarkEnd w:id="6"/>
    </w:p>
    <w:p w14:paraId="6B39CD4D">
      <w:pPr>
        <w:ind w:firstLine="560"/>
        <w:rPr>
          <w:color w:val="FF0000"/>
        </w:rPr>
      </w:pPr>
      <w:r>
        <w:rPr>
          <w:rFonts w:hint="eastAsia"/>
        </w:rPr>
        <w:t>《</w:t>
      </w:r>
      <w:r>
        <w:rPr>
          <w:rFonts w:hint="eastAsia"/>
          <w:lang w:val="en-US" w:eastAsia="zh-CN"/>
        </w:rPr>
        <w:t>会计基础</w:t>
      </w:r>
      <w:r>
        <w:rPr>
          <w:rFonts w:hint="eastAsia"/>
        </w:rPr>
        <w:t>》是</w:t>
      </w:r>
      <w:r>
        <w:rPr>
          <w:rFonts w:hint="eastAsia"/>
          <w:lang w:val="en-US" w:eastAsia="zh-CN"/>
        </w:rPr>
        <w:t>大数据会计</w:t>
      </w:r>
      <w:r>
        <w:rPr>
          <w:rFonts w:hint="eastAsia"/>
        </w:rPr>
        <w:t>专业的一门</w:t>
      </w:r>
      <w:r>
        <w:rPr>
          <w:rFonts w:hint="eastAsia"/>
          <w:lang w:val="en-US" w:eastAsia="zh-CN"/>
        </w:rPr>
        <w:t>专业基础</w:t>
      </w:r>
      <w:r>
        <w:rPr>
          <w:rFonts w:hint="eastAsia"/>
        </w:rPr>
        <w:t>课，本课程全面贯彻党的教育方针，落实立德树人根本任务，培养学生勇于创新的精神和</w:t>
      </w:r>
      <w:r>
        <w:rPr>
          <w:rFonts w:hint="eastAsia"/>
          <w:lang w:val="en-US" w:eastAsia="zh-CN"/>
        </w:rPr>
        <w:t>实践动手</w:t>
      </w:r>
      <w:r>
        <w:rPr>
          <w:rFonts w:hint="eastAsia"/>
        </w:rPr>
        <w:t>能力，提升学生</w:t>
      </w:r>
      <w:r>
        <w:rPr>
          <w:rFonts w:hint="eastAsia"/>
          <w:lang w:val="en-US" w:eastAsia="zh-CN"/>
        </w:rPr>
        <w:t>会计职业</w:t>
      </w:r>
      <w:r>
        <w:rPr>
          <w:rFonts w:hint="eastAsia"/>
        </w:rPr>
        <w:t>意识和较强的项目实操能力，达到使学生具备较强的</w:t>
      </w:r>
      <w:r>
        <w:rPr>
          <w:rFonts w:hint="eastAsia"/>
          <w:lang w:val="en-US" w:eastAsia="zh-CN"/>
        </w:rPr>
        <w:t>财务</w:t>
      </w:r>
      <w:r>
        <w:rPr>
          <w:rFonts w:hint="eastAsia"/>
        </w:rPr>
        <w:t>思维和</w:t>
      </w:r>
      <w:r>
        <w:rPr>
          <w:rFonts w:hint="eastAsia"/>
          <w:lang w:val="en-US" w:eastAsia="zh-CN"/>
        </w:rPr>
        <w:t>明了会计核算、会计监督、出纳等岗位工作</w:t>
      </w:r>
      <w:r>
        <w:rPr>
          <w:rFonts w:hint="eastAsia"/>
        </w:rPr>
        <w:t>任务。</w:t>
      </w:r>
    </w:p>
    <w:p w14:paraId="2385E13C">
      <w:pPr>
        <w:ind w:firstLine="560"/>
        <w:rPr>
          <w:color w:val="FF0000"/>
        </w:rPr>
      </w:pPr>
      <w:r>
        <w:rPr>
          <w:rFonts w:hint="eastAsia"/>
        </w:rPr>
        <w:t>通过本课程教学，使学生</w:t>
      </w:r>
      <w:r>
        <w:rPr>
          <w:rFonts w:hint="eastAsia"/>
          <w:lang w:val="en-US" w:eastAsia="zh-CN"/>
        </w:rPr>
        <w:t>能够正确认知会计职业在社会经济发展中的重要作用，理解会计的职能、目标、对象、会计核算的前提条件、会计核算基础、会计信息质量要求等基本理论；使学生学会运用借贷记账法反应会计业务的增减变动情况；能够对小型制造企业的日常活动进行正确规范的核算，包括填制审核原始凭证、编制审核记账凭证、登记会计账簿、结账、对账和编制会计报告等</w:t>
      </w:r>
      <w:r>
        <w:rPr>
          <w:rFonts w:hint="eastAsia"/>
        </w:rPr>
        <w:t>技能，</w:t>
      </w:r>
      <w:r>
        <w:rPr>
          <w:rFonts w:hint="eastAsia"/>
          <w:lang w:val="en-US" w:eastAsia="zh-CN"/>
        </w:rPr>
        <w:t>掌握业财数据融合的基本逻辑，具备运用数字工具处理会计数据的能力提高</w:t>
      </w:r>
      <w:r>
        <w:rPr>
          <w:rFonts w:hint="eastAsia"/>
        </w:rPr>
        <w:t>学生分析问题和解决问题的能力，以便使学生实现从学校到社会的平稳过渡。</w:t>
      </w:r>
    </w:p>
    <w:p w14:paraId="621E819A">
      <w:pPr>
        <w:pStyle w:val="2"/>
        <w:ind w:firstLine="653"/>
      </w:pPr>
      <w:bookmarkStart w:id="9" w:name="_Toc1651"/>
      <w:r>
        <w:rPr>
          <w:rFonts w:hint="eastAsia"/>
        </w:rPr>
        <w:t>三、课程目标</w:t>
      </w:r>
      <w:bookmarkEnd w:id="7"/>
      <w:bookmarkEnd w:id="8"/>
      <w:bookmarkEnd w:id="9"/>
      <w:bookmarkStart w:id="10" w:name="_Toc502337263"/>
    </w:p>
    <w:p w14:paraId="475EE3BC">
      <w:pPr>
        <w:ind w:firstLine="560"/>
      </w:pPr>
      <w:r>
        <w:rPr>
          <w:rFonts w:hint="eastAsia"/>
        </w:rPr>
        <w:t>完成本课程学习后，学生应当具有以下素质、知识和能力：</w:t>
      </w:r>
    </w:p>
    <w:bookmarkEnd w:id="10"/>
    <w:p w14:paraId="1E5387A1">
      <w:pPr>
        <w:pStyle w:val="3"/>
        <w:numPr>
          <w:ilvl w:val="0"/>
          <w:numId w:val="2"/>
        </w:numPr>
        <w:ind w:firstLine="560"/>
      </w:pPr>
      <w:bookmarkStart w:id="11" w:name="_Toc90472987"/>
      <w:bookmarkStart w:id="12" w:name="_Toc7412"/>
      <w:bookmarkStart w:id="13" w:name="_Toc1453"/>
      <w:r>
        <w:rPr>
          <w:rFonts w:hint="eastAsia"/>
        </w:rPr>
        <w:t>素质目标</w:t>
      </w:r>
      <w:bookmarkEnd w:id="11"/>
      <w:bookmarkEnd w:id="12"/>
      <w:bookmarkEnd w:id="13"/>
      <w:bookmarkStart w:id="14" w:name="_Toc502337264"/>
    </w:p>
    <w:p w14:paraId="0B0B31FF">
      <w:pPr>
        <w:ind w:firstLine="560"/>
        <w:rPr>
          <w:rFonts w:hint="eastAsia"/>
          <w:color w:val="auto"/>
        </w:rPr>
      </w:pPr>
      <w:r>
        <w:rPr>
          <w:rFonts w:hint="eastAsia"/>
          <w:color w:val="auto"/>
        </w:rPr>
        <w:t xml:space="preserve">1.具有较强的语音表达、沟通和协调能力； </w:t>
      </w:r>
    </w:p>
    <w:p w14:paraId="707C18BA">
      <w:pPr>
        <w:numPr>
          <w:ilvl w:val="0"/>
          <w:numId w:val="0"/>
        </w:numPr>
        <w:rPr>
          <w:rFonts w:hint="eastAsia"/>
          <w:color w:val="auto"/>
        </w:rPr>
      </w:pPr>
      <w:r>
        <w:rPr>
          <w:rFonts w:hint="eastAsia"/>
          <w:color w:val="auto"/>
          <w:lang w:val="en-US" w:eastAsia="zh-CN"/>
        </w:rPr>
        <w:t xml:space="preserve">    2.</w:t>
      </w:r>
      <w:r>
        <w:rPr>
          <w:rFonts w:hint="eastAsia"/>
          <w:color w:val="auto"/>
        </w:rPr>
        <w:t xml:space="preserve">具有团队合作和协助精神； </w:t>
      </w:r>
    </w:p>
    <w:p w14:paraId="628390E5">
      <w:pPr>
        <w:numPr>
          <w:ilvl w:val="0"/>
          <w:numId w:val="0"/>
        </w:numPr>
        <w:rPr>
          <w:rFonts w:hint="eastAsia"/>
          <w:color w:val="auto"/>
        </w:rPr>
      </w:pPr>
      <w:r>
        <w:rPr>
          <w:rFonts w:hint="eastAsia"/>
          <w:color w:val="auto"/>
          <w:lang w:val="en-US" w:eastAsia="zh-CN"/>
        </w:rPr>
        <w:t xml:space="preserve">    3.</w:t>
      </w:r>
      <w:r>
        <w:rPr>
          <w:rFonts w:hint="eastAsia"/>
          <w:color w:val="auto"/>
        </w:rPr>
        <w:t xml:space="preserve">具有良好的心理素质、礼仪修养、诚信品格和社会责 任感； </w:t>
      </w:r>
    </w:p>
    <w:p w14:paraId="06E5B0BD">
      <w:pPr>
        <w:numPr>
          <w:ilvl w:val="0"/>
          <w:numId w:val="0"/>
        </w:numPr>
        <w:ind w:firstLine="560"/>
        <w:rPr>
          <w:rFonts w:hint="eastAsia"/>
          <w:color w:val="auto"/>
        </w:rPr>
      </w:pPr>
      <w:r>
        <w:rPr>
          <w:rFonts w:hint="eastAsia"/>
          <w:color w:val="auto"/>
          <w:lang w:val="en-US" w:eastAsia="zh-CN"/>
        </w:rPr>
        <w:t>4.</w:t>
      </w:r>
      <w:r>
        <w:rPr>
          <w:rFonts w:hint="eastAsia"/>
          <w:color w:val="auto"/>
        </w:rPr>
        <w:t>根据学校目标，具有独立开展社会调查的能力；</w:t>
      </w:r>
    </w:p>
    <w:p w14:paraId="0586E749">
      <w:pPr>
        <w:numPr>
          <w:ilvl w:val="0"/>
          <w:numId w:val="0"/>
        </w:numPr>
        <w:ind w:firstLine="560"/>
        <w:rPr>
          <w:rFonts w:hint="eastAsia"/>
          <w:color w:val="auto"/>
        </w:rPr>
      </w:pPr>
      <w:r>
        <w:rPr>
          <w:rFonts w:hint="eastAsia"/>
          <w:color w:val="auto"/>
          <w:lang w:val="en-US" w:eastAsia="zh-CN"/>
        </w:rPr>
        <w:t>5.</w:t>
      </w:r>
      <w:r>
        <w:rPr>
          <w:rFonts w:hint="eastAsia"/>
          <w:color w:val="auto"/>
        </w:rPr>
        <w:t>培养学生实践动手操作能力；</w:t>
      </w:r>
    </w:p>
    <w:p w14:paraId="51A87837">
      <w:pPr>
        <w:numPr>
          <w:ilvl w:val="0"/>
          <w:numId w:val="0"/>
        </w:numPr>
        <w:ind w:firstLine="560"/>
        <w:rPr>
          <w:rFonts w:hint="eastAsia"/>
          <w:color w:val="auto"/>
          <w:lang w:val="en-US" w:eastAsia="zh-CN"/>
        </w:rPr>
      </w:pPr>
      <w:r>
        <w:rPr>
          <w:rFonts w:hint="eastAsia"/>
          <w:color w:val="auto"/>
          <w:lang w:val="en-US" w:eastAsia="zh-CN"/>
        </w:rPr>
        <w:t>6.树立数据安全与合规意识，培养技术向善的职业伦理。</w:t>
      </w:r>
    </w:p>
    <w:p w14:paraId="031AAB23">
      <w:pPr>
        <w:pStyle w:val="3"/>
        <w:numPr>
          <w:ilvl w:val="0"/>
          <w:numId w:val="2"/>
        </w:numPr>
        <w:ind w:firstLine="560"/>
      </w:pPr>
      <w:bookmarkStart w:id="15" w:name="_Toc1104"/>
      <w:bookmarkStart w:id="16" w:name="_Toc24734"/>
      <w:bookmarkStart w:id="17" w:name="_Toc90472988"/>
      <w:r>
        <w:rPr>
          <w:rFonts w:hint="eastAsia"/>
        </w:rPr>
        <w:t>知识目标</w:t>
      </w:r>
      <w:bookmarkEnd w:id="14"/>
      <w:bookmarkEnd w:id="15"/>
      <w:bookmarkEnd w:id="16"/>
      <w:bookmarkEnd w:id="17"/>
      <w:bookmarkStart w:id="18" w:name="_Toc502337265"/>
    </w:p>
    <w:p w14:paraId="0C3DEF25">
      <w:pPr>
        <w:numPr>
          <w:ilvl w:val="0"/>
          <w:numId w:val="0"/>
        </w:numPr>
        <w:rPr>
          <w:rFonts w:hint="eastAsia"/>
          <w:color w:val="auto"/>
        </w:rPr>
      </w:pPr>
      <w:r>
        <w:rPr>
          <w:rFonts w:hint="eastAsia"/>
          <w:color w:val="auto"/>
          <w:lang w:val="en-US" w:eastAsia="zh-CN"/>
        </w:rPr>
        <w:t xml:space="preserve">    1.</w:t>
      </w:r>
      <w:r>
        <w:rPr>
          <w:rFonts w:hint="eastAsia"/>
          <w:color w:val="auto"/>
        </w:rPr>
        <w:t>具备正确理解会计工作意义，明确投资者、债权人、 经营者、政府和社会公众对</w:t>
      </w:r>
      <w:r>
        <w:rPr>
          <w:rFonts w:hint="eastAsia"/>
          <w:color w:val="auto"/>
          <w:lang w:val="en-US" w:eastAsia="zh-CN"/>
        </w:rPr>
        <w:t>数据化</w:t>
      </w:r>
      <w:r>
        <w:rPr>
          <w:rFonts w:hint="eastAsia"/>
          <w:color w:val="auto"/>
        </w:rPr>
        <w:t xml:space="preserve">会计信息的需求。 </w:t>
      </w:r>
    </w:p>
    <w:p w14:paraId="4A5268D7">
      <w:pPr>
        <w:numPr>
          <w:ilvl w:val="0"/>
          <w:numId w:val="0"/>
        </w:numPr>
        <w:rPr>
          <w:rFonts w:hint="eastAsia"/>
          <w:color w:val="auto"/>
        </w:rPr>
      </w:pPr>
      <w:r>
        <w:rPr>
          <w:rFonts w:hint="eastAsia"/>
          <w:color w:val="auto"/>
          <w:lang w:val="en-US" w:eastAsia="zh-CN"/>
        </w:rPr>
        <w:t xml:space="preserve">    2.</w:t>
      </w:r>
      <w:r>
        <w:rPr>
          <w:rFonts w:hint="eastAsia"/>
          <w:color w:val="auto"/>
        </w:rPr>
        <w:t xml:space="preserve">掌握会计职能、对象、会计核算的前提条件、会计信息质量要求等会计基本理论； </w:t>
      </w:r>
    </w:p>
    <w:p w14:paraId="6B14B2BE">
      <w:pPr>
        <w:numPr>
          <w:ilvl w:val="0"/>
          <w:numId w:val="0"/>
        </w:numPr>
        <w:rPr>
          <w:rFonts w:hint="eastAsia"/>
          <w:color w:val="auto"/>
        </w:rPr>
      </w:pPr>
      <w:r>
        <w:rPr>
          <w:rFonts w:hint="eastAsia"/>
          <w:color w:val="auto"/>
          <w:lang w:val="en-US" w:eastAsia="zh-CN"/>
        </w:rPr>
        <w:t xml:space="preserve">    3.</w:t>
      </w:r>
      <w:r>
        <w:rPr>
          <w:rFonts w:hint="eastAsia"/>
          <w:color w:val="auto"/>
        </w:rPr>
        <w:t>能够正确理解小型制造业日常活动经济业务内容，学会运用借贷记账法</w:t>
      </w:r>
      <w:r>
        <w:rPr>
          <w:rFonts w:hint="eastAsia"/>
          <w:color w:val="auto"/>
          <w:lang w:val="en-US" w:eastAsia="zh-CN"/>
        </w:rPr>
        <w:t>和基础数据工具</w:t>
      </w:r>
      <w:r>
        <w:rPr>
          <w:rFonts w:hint="eastAsia"/>
          <w:color w:val="auto"/>
        </w:rPr>
        <w:t>记录小型制造业日常活动；</w:t>
      </w:r>
    </w:p>
    <w:p w14:paraId="6F6A4BEE">
      <w:pPr>
        <w:numPr>
          <w:ilvl w:val="0"/>
          <w:numId w:val="0"/>
        </w:numPr>
        <w:ind w:firstLine="560"/>
        <w:rPr>
          <w:rFonts w:hint="eastAsia"/>
          <w:color w:val="auto"/>
          <w:lang w:val="en-US" w:eastAsia="zh-CN"/>
        </w:rPr>
      </w:pPr>
      <w:r>
        <w:rPr>
          <w:rFonts w:hint="eastAsia"/>
          <w:color w:val="auto"/>
          <w:lang w:val="en-US" w:eastAsia="zh-CN"/>
        </w:rPr>
        <w:t>4.</w:t>
      </w:r>
      <w:r>
        <w:rPr>
          <w:rFonts w:hint="eastAsia"/>
          <w:color w:val="auto"/>
        </w:rPr>
        <w:t>能独立完成从填制和审核凭证→设置和登记账簿→结账、对账→编制与报送会计报表的会计核算工</w:t>
      </w:r>
      <w:r>
        <w:rPr>
          <w:rFonts w:hint="eastAsia"/>
          <w:color w:val="auto"/>
          <w:lang w:val="en-US" w:eastAsia="zh-CN"/>
        </w:rPr>
        <w:t>作</w:t>
      </w:r>
    </w:p>
    <w:p w14:paraId="14C0DCA4">
      <w:pPr>
        <w:numPr>
          <w:ilvl w:val="0"/>
          <w:numId w:val="0"/>
        </w:numPr>
        <w:ind w:firstLine="560"/>
        <w:rPr>
          <w:rFonts w:hint="eastAsia"/>
          <w:color w:val="auto"/>
          <w:lang w:val="en-US" w:eastAsia="zh-CN"/>
        </w:rPr>
      </w:pPr>
      <w:r>
        <w:rPr>
          <w:rFonts w:hint="eastAsia"/>
          <w:color w:val="auto"/>
          <w:lang w:val="en-US" w:eastAsia="zh-CN"/>
        </w:rPr>
        <w:t>5.</w:t>
      </w:r>
      <w:r>
        <w:rPr>
          <w:rFonts w:hint="eastAsia"/>
          <w:color w:val="auto"/>
        </w:rPr>
        <w:t>了解《数据安全法》《个人信息保护法》中与财务数据相关的条款，掌握财务数据脱敏的基本方法。</w:t>
      </w:r>
    </w:p>
    <w:p w14:paraId="3824FC18">
      <w:pPr>
        <w:pStyle w:val="3"/>
        <w:numPr>
          <w:ilvl w:val="0"/>
          <w:numId w:val="2"/>
        </w:numPr>
        <w:ind w:firstLine="560"/>
      </w:pPr>
      <w:bookmarkStart w:id="19" w:name="_Toc90472989"/>
      <w:bookmarkStart w:id="20" w:name="_Toc12623"/>
      <w:bookmarkStart w:id="21" w:name="_Toc30755"/>
      <w:r>
        <w:rPr>
          <w:rFonts w:hint="eastAsia"/>
        </w:rPr>
        <w:t>能力目标</w:t>
      </w:r>
      <w:bookmarkEnd w:id="18"/>
      <w:bookmarkEnd w:id="19"/>
      <w:bookmarkEnd w:id="20"/>
      <w:bookmarkEnd w:id="21"/>
    </w:p>
    <w:p w14:paraId="593951B7">
      <w:pPr>
        <w:numPr>
          <w:ilvl w:val="0"/>
          <w:numId w:val="0"/>
        </w:numPr>
        <w:rPr>
          <w:rFonts w:hint="eastAsia"/>
          <w:color w:val="auto"/>
          <w:lang w:val="en-US" w:eastAsia="zh-CN"/>
        </w:rPr>
      </w:pPr>
      <w:bookmarkStart w:id="22" w:name="_Toc24423"/>
      <w:bookmarkStart w:id="23" w:name="_Toc11296"/>
      <w:r>
        <w:rPr>
          <w:rFonts w:hint="eastAsia"/>
          <w:color w:val="auto"/>
          <w:lang w:val="en-US" w:eastAsia="zh-CN"/>
        </w:rPr>
        <w:t xml:space="preserve">1.能自主学习，具有终生学习的能力； </w:t>
      </w:r>
    </w:p>
    <w:p w14:paraId="0B126976">
      <w:pPr>
        <w:numPr>
          <w:ilvl w:val="0"/>
          <w:numId w:val="0"/>
        </w:numPr>
        <w:rPr>
          <w:rFonts w:hint="eastAsia"/>
          <w:color w:val="auto"/>
          <w:lang w:val="en-US" w:eastAsia="zh-CN"/>
        </w:rPr>
      </w:pPr>
      <w:r>
        <w:rPr>
          <w:rFonts w:hint="eastAsia"/>
          <w:color w:val="auto"/>
          <w:lang w:val="en-US" w:eastAsia="zh-CN"/>
        </w:rPr>
        <w:t xml:space="preserve">2.能通过各种学习资源查找所需信息； </w:t>
      </w:r>
    </w:p>
    <w:p w14:paraId="3F353885">
      <w:pPr>
        <w:numPr>
          <w:ilvl w:val="0"/>
          <w:numId w:val="0"/>
        </w:numPr>
        <w:rPr>
          <w:rFonts w:hint="eastAsia"/>
          <w:color w:val="auto"/>
          <w:lang w:val="en-US" w:eastAsia="zh-CN"/>
        </w:rPr>
      </w:pPr>
      <w:r>
        <w:rPr>
          <w:rFonts w:hint="eastAsia"/>
          <w:color w:val="auto"/>
          <w:lang w:val="en-US" w:eastAsia="zh-CN"/>
        </w:rPr>
        <w:t xml:space="preserve">3.在老师指导下，能制定会计职业学习情境方案； </w:t>
      </w:r>
    </w:p>
    <w:p w14:paraId="2FD2B492">
      <w:pPr>
        <w:numPr>
          <w:ilvl w:val="0"/>
          <w:numId w:val="0"/>
        </w:numPr>
        <w:rPr>
          <w:rFonts w:hint="eastAsia"/>
          <w:color w:val="auto"/>
          <w:lang w:val="en-US" w:eastAsia="zh-CN"/>
        </w:rPr>
      </w:pPr>
      <w:r>
        <w:rPr>
          <w:rFonts w:hint="eastAsia"/>
          <w:color w:val="auto"/>
          <w:lang w:val="en-US" w:eastAsia="zh-CN"/>
        </w:rPr>
        <w:t>4.具有办公自动化、运用网络和信息处理能力</w:t>
      </w:r>
    </w:p>
    <w:p w14:paraId="5A2F3FB0">
      <w:pPr>
        <w:numPr>
          <w:ilvl w:val="0"/>
          <w:numId w:val="0"/>
        </w:numPr>
        <w:rPr>
          <w:rFonts w:hint="eastAsia"/>
          <w:color w:val="auto"/>
          <w:lang w:val="en-US" w:eastAsia="zh-CN"/>
        </w:rPr>
      </w:pPr>
      <w:r>
        <w:rPr>
          <w:rFonts w:hint="eastAsia"/>
          <w:color w:val="auto"/>
          <w:lang w:val="en-US" w:eastAsia="zh-CN"/>
        </w:rPr>
        <w:t xml:space="preserve">5. 能运用 Excel 高级功能（数据透视表、函数）处理会计数据，初     </w:t>
      </w:r>
    </w:p>
    <w:p w14:paraId="4FCA48CA">
      <w:pPr>
        <w:numPr>
          <w:ilvl w:val="0"/>
          <w:numId w:val="0"/>
        </w:numPr>
        <w:rPr>
          <w:rFonts w:hint="eastAsia"/>
          <w:color w:val="auto"/>
          <w:lang w:val="en-US" w:eastAsia="zh-CN"/>
        </w:rPr>
      </w:pPr>
      <w:r>
        <w:rPr>
          <w:rFonts w:hint="eastAsia"/>
          <w:color w:val="auto"/>
          <w:lang w:val="en-US" w:eastAsia="zh-CN"/>
        </w:rPr>
        <w:t xml:space="preserve">   步掌握 ERP 系统数据接口的基础操作；</w:t>
      </w:r>
      <w:r>
        <w:rPr>
          <w:rFonts w:hint="default"/>
          <w:color w:val="auto"/>
          <w:lang w:val="en-US" w:eastAsia="zh-CN"/>
        </w:rPr>
        <w:br w:type="textWrapping"/>
      </w:r>
      <w:r>
        <w:rPr>
          <w:rFonts w:hint="default"/>
          <w:color w:val="auto"/>
          <w:lang w:val="en-US" w:eastAsia="zh-CN"/>
        </w:rPr>
        <w:t>6. 能识别财务数据安全风险，完成简单的财务数据脱敏处理。</w:t>
      </w:r>
    </w:p>
    <w:p w14:paraId="1CB9A4D5">
      <w:pPr>
        <w:pStyle w:val="2"/>
        <w:numPr>
          <w:ilvl w:val="0"/>
          <w:numId w:val="0"/>
        </w:numPr>
      </w:pPr>
      <w:r>
        <w:rPr>
          <w:rFonts w:hint="eastAsia"/>
        </w:rPr>
        <w:t>四、课程职业能力分析</w:t>
      </w:r>
      <w:bookmarkEnd w:id="22"/>
      <w:bookmarkEnd w:id="23"/>
    </w:p>
    <w:p w14:paraId="18F53867">
      <w:pPr>
        <w:widowControl/>
        <w:spacing w:before="156" w:beforeLines="50"/>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表2. 课程职业能力分析表</w:t>
      </w:r>
    </w:p>
    <w:tbl>
      <w:tblPr>
        <w:tblStyle w:val="14"/>
        <w:tblW w:w="9152"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7"/>
        <w:gridCol w:w="1724"/>
        <w:gridCol w:w="1536"/>
        <w:gridCol w:w="2268"/>
        <w:gridCol w:w="2347"/>
      </w:tblGrid>
      <w:tr w14:paraId="58DD7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1277" w:type="dxa"/>
            <w:tcBorders>
              <w:top w:val="single" w:color="auto" w:sz="12" w:space="0"/>
              <w:left w:val="single" w:color="auto" w:sz="12" w:space="0"/>
              <w:bottom w:val="single" w:color="auto" w:sz="4" w:space="0"/>
              <w:right w:val="single" w:color="auto" w:sz="4" w:space="0"/>
            </w:tcBorders>
            <w:shd w:val="clear" w:color="auto" w:fill="auto"/>
            <w:vAlign w:val="center"/>
          </w:tcPr>
          <w:p w14:paraId="128183AA">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工作岗位</w:t>
            </w:r>
          </w:p>
        </w:tc>
        <w:tc>
          <w:tcPr>
            <w:tcW w:w="1724" w:type="dxa"/>
            <w:tcBorders>
              <w:top w:val="single" w:color="auto" w:sz="12" w:space="0"/>
              <w:left w:val="single" w:color="auto" w:sz="4" w:space="0"/>
              <w:bottom w:val="single" w:color="auto" w:sz="4" w:space="0"/>
              <w:right w:val="single" w:color="auto" w:sz="4" w:space="0"/>
            </w:tcBorders>
            <w:shd w:val="clear" w:color="auto" w:fill="auto"/>
            <w:vAlign w:val="center"/>
          </w:tcPr>
          <w:p w14:paraId="0DA4C5BC">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工作任务</w:t>
            </w:r>
          </w:p>
        </w:tc>
        <w:tc>
          <w:tcPr>
            <w:tcW w:w="1536" w:type="dxa"/>
            <w:tcBorders>
              <w:top w:val="single" w:color="auto" w:sz="12" w:space="0"/>
              <w:left w:val="single" w:color="auto" w:sz="4" w:space="0"/>
              <w:bottom w:val="single" w:color="auto" w:sz="4" w:space="0"/>
              <w:right w:val="single" w:color="auto" w:sz="4" w:space="0"/>
            </w:tcBorders>
            <w:vAlign w:val="center"/>
          </w:tcPr>
          <w:p w14:paraId="054280E3">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工作内容</w:t>
            </w:r>
          </w:p>
        </w:tc>
        <w:tc>
          <w:tcPr>
            <w:tcW w:w="2268" w:type="dxa"/>
            <w:tcBorders>
              <w:top w:val="single" w:color="auto" w:sz="12" w:space="0"/>
              <w:left w:val="single" w:color="auto" w:sz="4" w:space="0"/>
              <w:bottom w:val="single" w:color="auto" w:sz="4" w:space="0"/>
              <w:right w:val="single" w:color="auto" w:sz="4" w:space="0"/>
            </w:tcBorders>
            <w:shd w:val="clear" w:color="auto" w:fill="auto"/>
            <w:vAlign w:val="center"/>
          </w:tcPr>
          <w:p w14:paraId="635731CB">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技能点</w:t>
            </w:r>
          </w:p>
        </w:tc>
        <w:tc>
          <w:tcPr>
            <w:tcW w:w="2347" w:type="dxa"/>
            <w:tcBorders>
              <w:top w:val="single" w:color="auto" w:sz="12" w:space="0"/>
              <w:left w:val="single" w:color="auto" w:sz="4" w:space="0"/>
              <w:bottom w:val="single" w:color="auto" w:sz="4" w:space="0"/>
              <w:right w:val="single" w:color="auto" w:sz="12" w:space="0"/>
            </w:tcBorders>
            <w:shd w:val="clear" w:color="auto" w:fill="auto"/>
            <w:vAlign w:val="center"/>
          </w:tcPr>
          <w:p w14:paraId="231E34D4">
            <w:pPr>
              <w:widowControl/>
              <w:spacing w:line="400" w:lineRule="exact"/>
              <w:ind w:firstLine="0" w:firstLineChars="0"/>
              <w:jc w:val="center"/>
              <w:rPr>
                <w:rFonts w:ascii="仿宋_GB2312" w:hAnsi="仿宋_GB2312" w:cs="仿宋_GB2312"/>
                <w:b/>
                <w:color w:val="000000"/>
                <w:sz w:val="24"/>
                <w:szCs w:val="24"/>
              </w:rPr>
            </w:pPr>
            <w:r>
              <w:rPr>
                <w:rFonts w:hint="eastAsia" w:ascii="仿宋_GB2312" w:hAnsi="仿宋_GB2312" w:cs="仿宋_GB2312"/>
                <w:b/>
                <w:color w:val="000000"/>
                <w:sz w:val="24"/>
                <w:szCs w:val="24"/>
              </w:rPr>
              <w:t>知识点</w:t>
            </w:r>
          </w:p>
        </w:tc>
      </w:tr>
      <w:tr w14:paraId="682C0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1277" w:type="dxa"/>
            <w:vMerge w:val="restart"/>
            <w:tcBorders>
              <w:top w:val="single" w:color="auto" w:sz="4" w:space="0"/>
              <w:left w:val="single" w:color="auto" w:sz="12" w:space="0"/>
              <w:right w:val="single" w:color="auto" w:sz="4" w:space="0"/>
            </w:tcBorders>
            <w:shd w:val="clear" w:color="auto" w:fill="auto"/>
            <w:vAlign w:val="center"/>
          </w:tcPr>
          <w:p w14:paraId="43C6EAAE">
            <w:pPr>
              <w:ind w:firstLine="0" w:firstLineChars="0"/>
              <w:jc w:val="center"/>
              <w:rPr>
                <w:rFonts w:hint="eastAsia" w:ascii="仿宋_GB2312" w:hAnsi="仿宋_GB2312" w:eastAsia="仿宋_GB2312" w:cs="仿宋_GB2312"/>
                <w:color w:val="000000"/>
                <w:sz w:val="24"/>
                <w:szCs w:val="24"/>
                <w:lang w:val="en-US" w:eastAsia="zh-CN"/>
              </w:rPr>
            </w:pPr>
            <w:r>
              <w:rPr>
                <w:rFonts w:hint="eastAsia" w:ascii="仿宋_GB2312" w:hAnsi="仿宋_GB2312" w:cs="仿宋_GB2312"/>
                <w:color w:val="000000"/>
                <w:sz w:val="24"/>
                <w:szCs w:val="24"/>
                <w:lang w:val="en-US" w:eastAsia="zh-CN"/>
              </w:rPr>
              <w:t>出纳</w:t>
            </w:r>
          </w:p>
        </w:tc>
        <w:tc>
          <w:tcPr>
            <w:tcW w:w="1724" w:type="dxa"/>
            <w:tcBorders>
              <w:top w:val="single" w:color="auto" w:sz="4" w:space="0"/>
              <w:left w:val="single" w:color="auto" w:sz="4" w:space="0"/>
              <w:right w:val="single" w:color="auto" w:sz="4" w:space="0"/>
            </w:tcBorders>
            <w:shd w:val="clear" w:color="auto" w:fill="auto"/>
            <w:vAlign w:val="center"/>
          </w:tcPr>
          <w:p w14:paraId="4125F532">
            <w:pPr>
              <w:ind w:firstLine="0" w:firstLineChars="0"/>
              <w:jc w:val="center"/>
              <w:rPr>
                <w:rFonts w:hint="default" w:ascii="仿宋_GB2312" w:hAnsi="仿宋_GB2312" w:eastAsia="仿宋_GB2312" w:cs="仿宋_GB2312"/>
                <w:color w:val="000000"/>
                <w:sz w:val="24"/>
                <w:szCs w:val="24"/>
                <w:lang w:val="en-US" w:eastAsia="zh-CN"/>
              </w:rPr>
            </w:pPr>
            <w:r>
              <w:rPr>
                <w:rFonts w:hint="eastAsia" w:ascii="仿宋_GB2312" w:hAnsi="仿宋_GB2312" w:cs="仿宋_GB2312"/>
                <w:color w:val="000000"/>
                <w:sz w:val="24"/>
                <w:szCs w:val="24"/>
                <w:lang w:val="en-US" w:eastAsia="zh-CN"/>
              </w:rPr>
              <w:t>资金收付管理</w:t>
            </w:r>
          </w:p>
        </w:tc>
        <w:tc>
          <w:tcPr>
            <w:tcW w:w="1536" w:type="dxa"/>
            <w:tcBorders>
              <w:top w:val="single" w:color="auto" w:sz="4" w:space="0"/>
              <w:left w:val="single" w:color="auto" w:sz="4" w:space="0"/>
              <w:bottom w:val="single" w:color="auto" w:sz="4" w:space="0"/>
              <w:right w:val="single" w:color="auto" w:sz="4" w:space="0"/>
            </w:tcBorders>
            <w:vAlign w:val="center"/>
          </w:tcPr>
          <w:p w14:paraId="683C4CCA">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办理现金收付和银行结算业务，如员工报销款项支付、企业货款收取等</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019F3E72">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熟练操作点钞机、验钞机，准确填写各类银行票据，熟悉网上银行操作流程</w:t>
            </w:r>
          </w:p>
          <w:p w14:paraId="777128A6">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能通过 ERP 系统完成资金收付数据的对接与校验</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7B9D9A0E">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现金管理规定、银行结算方式（支票、汇票等）、票据填写规范</w:t>
            </w:r>
          </w:p>
          <w:p w14:paraId="6C9F9ABD">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ERP 系统资金模块数据逻辑、财务数据安全规范</w:t>
            </w:r>
          </w:p>
        </w:tc>
      </w:tr>
      <w:tr w14:paraId="1980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1277" w:type="dxa"/>
            <w:vMerge w:val="continue"/>
            <w:tcBorders>
              <w:left w:val="single" w:color="auto" w:sz="12" w:space="0"/>
              <w:right w:val="single" w:color="auto" w:sz="4" w:space="0"/>
            </w:tcBorders>
            <w:shd w:val="clear" w:color="auto" w:fill="auto"/>
            <w:vAlign w:val="center"/>
          </w:tcPr>
          <w:p w14:paraId="7CA2E8A9">
            <w:pPr>
              <w:ind w:firstLine="0" w:firstLineChars="0"/>
              <w:jc w:val="center"/>
              <w:rPr>
                <w:rFonts w:ascii="仿宋_GB2312" w:hAnsi="仿宋_GB2312" w:cs="仿宋_GB2312"/>
                <w:sz w:val="24"/>
                <w:szCs w:val="24"/>
                <w:highlight w:val="yellow"/>
              </w:rPr>
            </w:pPr>
          </w:p>
        </w:tc>
        <w:tc>
          <w:tcPr>
            <w:tcW w:w="1724" w:type="dxa"/>
            <w:tcBorders>
              <w:left w:val="single" w:color="auto" w:sz="4" w:space="0"/>
              <w:bottom w:val="single" w:color="auto" w:sz="4" w:space="0"/>
              <w:right w:val="single" w:color="auto" w:sz="4" w:space="0"/>
            </w:tcBorders>
            <w:shd w:val="clear" w:color="auto" w:fill="auto"/>
            <w:vAlign w:val="center"/>
          </w:tcPr>
          <w:p w14:paraId="10C49CB9">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日记账登记</w:t>
            </w:r>
          </w:p>
        </w:tc>
        <w:tc>
          <w:tcPr>
            <w:tcW w:w="1536" w:type="dxa"/>
            <w:tcBorders>
              <w:top w:val="single" w:color="auto" w:sz="4" w:space="0"/>
              <w:left w:val="single" w:color="auto" w:sz="4" w:space="0"/>
              <w:bottom w:val="single" w:color="auto" w:sz="4" w:space="0"/>
              <w:right w:val="single" w:color="auto" w:sz="4" w:space="0"/>
            </w:tcBorders>
            <w:vAlign w:val="center"/>
          </w:tcPr>
          <w:p w14:paraId="61BD2C50">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登记现金日记账和银行存款日记账，做到日清月结</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667E8424">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能正确运用借贷记账法进行日记账登记，掌握错账更正方法</w:t>
            </w:r>
          </w:p>
          <w:p w14:paraId="524C26D8">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能通过 ERP 系统完成资金收付数据的对接与校验</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0626CC82">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会计凭证填制与审核、日记账格式与登记规则</w:t>
            </w:r>
          </w:p>
          <w:p w14:paraId="583FDE80">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ERP 系统资金模块数据逻辑、财务数据安全规范</w:t>
            </w:r>
          </w:p>
        </w:tc>
      </w:tr>
      <w:tr w14:paraId="1EEF4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vMerge w:val="restart"/>
            <w:tcBorders>
              <w:top w:val="single" w:color="auto" w:sz="4" w:space="0"/>
              <w:left w:val="single" w:color="auto" w:sz="12" w:space="0"/>
              <w:right w:val="single" w:color="auto" w:sz="4" w:space="0"/>
            </w:tcBorders>
            <w:shd w:val="clear" w:color="auto" w:fill="auto"/>
            <w:vAlign w:val="center"/>
          </w:tcPr>
          <w:p w14:paraId="699C2E9D">
            <w:pPr>
              <w:ind w:firstLine="0" w:firstLineChars="0"/>
              <w:jc w:val="center"/>
              <w:rPr>
                <w:rFonts w:hint="eastAsia"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会计助理</w:t>
            </w:r>
          </w:p>
        </w:tc>
        <w:tc>
          <w:tcPr>
            <w:tcW w:w="1724" w:type="dxa"/>
            <w:tcBorders>
              <w:top w:val="single" w:color="auto" w:sz="4" w:space="0"/>
              <w:left w:val="single" w:color="auto" w:sz="4" w:space="0"/>
              <w:right w:val="single" w:color="auto" w:sz="4" w:space="0"/>
            </w:tcBorders>
            <w:shd w:val="clear" w:color="auto" w:fill="auto"/>
            <w:vAlign w:val="center"/>
          </w:tcPr>
          <w:p w14:paraId="27B52184">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原始凭证整理</w:t>
            </w:r>
          </w:p>
        </w:tc>
        <w:tc>
          <w:tcPr>
            <w:tcW w:w="1536" w:type="dxa"/>
            <w:tcBorders>
              <w:top w:val="single" w:color="auto" w:sz="4" w:space="0"/>
              <w:left w:val="single" w:color="auto" w:sz="4" w:space="0"/>
              <w:bottom w:val="single" w:color="auto" w:sz="4" w:space="0"/>
              <w:right w:val="single" w:color="auto" w:sz="4" w:space="0"/>
            </w:tcBorders>
            <w:vAlign w:val="center"/>
          </w:tcPr>
          <w:p w14:paraId="6AD38EAE">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收集、分类、审核原始凭证，如发票、入库单等</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200E28FD">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识别真假原始凭证，判断原始凭证的合规性与完整性</w:t>
            </w:r>
          </w:p>
          <w:p w14:paraId="594BBC1A">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能运用 Python 基础脚本整理原始数据</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492B5882">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原始凭证的种类、内容、填制要求和审核要点</w:t>
            </w:r>
          </w:p>
          <w:p w14:paraId="5C0132DA">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数据清洗基础方法、《数据安全法》第 21 条应用场景</w:t>
            </w:r>
          </w:p>
        </w:tc>
      </w:tr>
      <w:tr w14:paraId="2BF73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vMerge w:val="continue"/>
            <w:tcBorders>
              <w:left w:val="single" w:color="auto" w:sz="12" w:space="0"/>
              <w:right w:val="single" w:color="auto" w:sz="4" w:space="0"/>
            </w:tcBorders>
            <w:shd w:val="clear" w:color="auto" w:fill="auto"/>
            <w:vAlign w:val="center"/>
          </w:tcPr>
          <w:p w14:paraId="5BD9E8F4">
            <w:pPr>
              <w:ind w:firstLine="0" w:firstLineChars="0"/>
              <w:jc w:val="center"/>
              <w:rPr>
                <w:rFonts w:hint="eastAsia" w:ascii="仿宋_GB2312" w:hAnsi="仿宋_GB2312" w:cs="仿宋_GB2312"/>
                <w:color w:val="000000"/>
                <w:sz w:val="24"/>
                <w:szCs w:val="24"/>
                <w:lang w:val="en-US" w:eastAsia="zh-CN"/>
              </w:rPr>
            </w:pPr>
          </w:p>
        </w:tc>
        <w:tc>
          <w:tcPr>
            <w:tcW w:w="1724" w:type="dxa"/>
            <w:tcBorders>
              <w:top w:val="single" w:color="auto" w:sz="4" w:space="0"/>
              <w:left w:val="single" w:color="auto" w:sz="4" w:space="0"/>
              <w:right w:val="single" w:color="auto" w:sz="4" w:space="0"/>
            </w:tcBorders>
            <w:shd w:val="clear" w:color="auto" w:fill="auto"/>
            <w:vAlign w:val="center"/>
          </w:tcPr>
          <w:p w14:paraId="51CAB387">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财务处理协助</w:t>
            </w:r>
          </w:p>
        </w:tc>
        <w:tc>
          <w:tcPr>
            <w:tcW w:w="1536" w:type="dxa"/>
            <w:tcBorders>
              <w:top w:val="single" w:color="auto" w:sz="4" w:space="0"/>
              <w:left w:val="single" w:color="auto" w:sz="4" w:space="0"/>
              <w:bottom w:val="single" w:color="auto" w:sz="4" w:space="0"/>
              <w:right w:val="single" w:color="auto" w:sz="4" w:space="0"/>
            </w:tcBorders>
            <w:vAlign w:val="center"/>
          </w:tcPr>
          <w:p w14:paraId="6856288B">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协助会计进行账务处理，如编制记账凭证、登记明细账</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664B4948">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正确编制简单业务的记账凭证，熟悉明细账的登记方法</w:t>
            </w:r>
          </w:p>
          <w:p w14:paraId="09845602">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能运用 Python 基础脚本整理原始数据</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28003B7F">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会计科目运用、记账凭证编制规则、账簿启用与登记方法</w:t>
            </w:r>
            <w:r>
              <w:rPr>
                <w:rFonts w:hint="eastAsia" w:ascii="仿宋_GB2312" w:hAnsi="仿宋_GB2312" w:cs="仿宋_GB2312"/>
                <w:color w:val="000000"/>
                <w:kern w:val="2"/>
                <w:sz w:val="24"/>
                <w:szCs w:val="24"/>
                <w:lang w:val="en-US" w:eastAsia="zh-CN" w:bidi="ar-SA"/>
              </w:rPr>
              <w:t>、</w:t>
            </w:r>
          </w:p>
          <w:p w14:paraId="0C2C97C6">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数据清洗基础方法、《数据安全法》第 21 条应用场景</w:t>
            </w:r>
          </w:p>
        </w:tc>
      </w:tr>
      <w:tr w14:paraId="303D7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vMerge w:val="restart"/>
            <w:tcBorders>
              <w:left w:val="single" w:color="auto" w:sz="12" w:space="0"/>
              <w:right w:val="single" w:color="auto" w:sz="4" w:space="0"/>
            </w:tcBorders>
            <w:shd w:val="clear" w:color="auto" w:fill="auto"/>
            <w:vAlign w:val="center"/>
          </w:tcPr>
          <w:p w14:paraId="46E51B48">
            <w:pPr>
              <w:ind w:firstLine="0" w:firstLineChars="0"/>
              <w:jc w:val="center"/>
              <w:rPr>
                <w:rFonts w:hint="eastAsia"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成本会计</w:t>
            </w:r>
          </w:p>
        </w:tc>
        <w:tc>
          <w:tcPr>
            <w:tcW w:w="1724" w:type="dxa"/>
            <w:tcBorders>
              <w:top w:val="single" w:color="auto" w:sz="4" w:space="0"/>
              <w:left w:val="single" w:color="auto" w:sz="4" w:space="0"/>
              <w:right w:val="single" w:color="auto" w:sz="4" w:space="0"/>
            </w:tcBorders>
            <w:shd w:val="clear" w:color="auto" w:fill="auto"/>
            <w:vAlign w:val="center"/>
          </w:tcPr>
          <w:p w14:paraId="5E546E93">
            <w:pPr>
              <w:ind w:firstLine="0" w:firstLineChars="0"/>
              <w:jc w:val="center"/>
              <w:rPr>
                <w:rFonts w:hint="eastAsia"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成本控制</w:t>
            </w:r>
          </w:p>
        </w:tc>
        <w:tc>
          <w:tcPr>
            <w:tcW w:w="1536" w:type="dxa"/>
            <w:tcBorders>
              <w:top w:val="single" w:color="auto" w:sz="4" w:space="0"/>
              <w:left w:val="single" w:color="auto" w:sz="4" w:space="0"/>
              <w:bottom w:val="single" w:color="auto" w:sz="4" w:space="0"/>
              <w:right w:val="single" w:color="auto" w:sz="4" w:space="0"/>
            </w:tcBorders>
            <w:vAlign w:val="center"/>
          </w:tcPr>
          <w:p w14:paraId="6822D9F0">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核算产品或服务成本，包括材料成本、人工成本、制造费用等的归集与分配</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5DD9271C">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熟练运用成本核算方法（品种法、分批法、分步法等），进行成本数据计算与分析</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14342A0A">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成本核算的流程、各项成本费用的归集与分配原则、成本计算方法的适用范围</w:t>
            </w:r>
          </w:p>
        </w:tc>
      </w:tr>
      <w:tr w14:paraId="5F5A1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trPr>
        <w:tc>
          <w:tcPr>
            <w:tcW w:w="1277" w:type="dxa"/>
            <w:vMerge w:val="continue"/>
            <w:tcBorders>
              <w:left w:val="single" w:color="auto" w:sz="12" w:space="0"/>
              <w:right w:val="single" w:color="auto" w:sz="4" w:space="0"/>
            </w:tcBorders>
            <w:shd w:val="clear" w:color="auto" w:fill="auto"/>
            <w:vAlign w:val="center"/>
          </w:tcPr>
          <w:p w14:paraId="406C48B9">
            <w:pPr>
              <w:ind w:firstLine="0" w:firstLineChars="0"/>
              <w:jc w:val="center"/>
              <w:rPr>
                <w:rFonts w:hint="eastAsia" w:ascii="仿宋_GB2312" w:hAnsi="仿宋_GB2312" w:cs="仿宋_GB2312"/>
                <w:color w:val="000000"/>
                <w:sz w:val="24"/>
                <w:szCs w:val="24"/>
                <w:lang w:val="en-US" w:eastAsia="zh-CN"/>
              </w:rPr>
            </w:pPr>
          </w:p>
        </w:tc>
        <w:tc>
          <w:tcPr>
            <w:tcW w:w="1724" w:type="dxa"/>
            <w:tcBorders>
              <w:top w:val="single" w:color="auto" w:sz="4" w:space="0"/>
              <w:left w:val="single" w:color="auto" w:sz="4" w:space="0"/>
              <w:right w:val="single" w:color="auto" w:sz="4" w:space="0"/>
            </w:tcBorders>
            <w:shd w:val="clear" w:color="auto" w:fill="auto"/>
            <w:vAlign w:val="center"/>
          </w:tcPr>
          <w:p w14:paraId="152EC324">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财务报表编制</w:t>
            </w:r>
          </w:p>
        </w:tc>
        <w:tc>
          <w:tcPr>
            <w:tcW w:w="1536" w:type="dxa"/>
            <w:tcBorders>
              <w:top w:val="single" w:color="auto" w:sz="4" w:space="0"/>
              <w:left w:val="single" w:color="auto" w:sz="4" w:space="0"/>
              <w:bottom w:val="single" w:color="auto" w:sz="4" w:space="0"/>
              <w:right w:val="single" w:color="auto" w:sz="4" w:space="0"/>
            </w:tcBorders>
            <w:vAlign w:val="center"/>
          </w:tcPr>
          <w:p w14:paraId="3E00FF11">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分析成本数据，提出成本控制建议</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0C17B35A">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能对成本数据进行对比分析，绘制成本分析图表</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04482903">
            <w:pPr>
              <w:ind w:firstLine="0" w:firstLineChars="0"/>
              <w:jc w:val="center"/>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成本性态分析、成本控制方法与策略</w:t>
            </w:r>
          </w:p>
        </w:tc>
      </w:tr>
      <w:tr w14:paraId="4B940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vMerge w:val="restart"/>
            <w:tcBorders>
              <w:left w:val="single" w:color="auto" w:sz="12" w:space="0"/>
              <w:right w:val="single" w:color="auto" w:sz="4" w:space="0"/>
            </w:tcBorders>
            <w:shd w:val="clear" w:color="auto" w:fill="auto"/>
            <w:vAlign w:val="center"/>
          </w:tcPr>
          <w:p w14:paraId="1F1B2D16">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财务会计</w:t>
            </w:r>
          </w:p>
        </w:tc>
        <w:tc>
          <w:tcPr>
            <w:tcW w:w="1724" w:type="dxa"/>
            <w:tcBorders>
              <w:left w:val="single" w:color="auto" w:sz="4" w:space="0"/>
              <w:right w:val="single" w:color="auto" w:sz="4" w:space="0"/>
            </w:tcBorders>
            <w:shd w:val="clear" w:color="auto" w:fill="auto"/>
            <w:vAlign w:val="center"/>
          </w:tcPr>
          <w:p w14:paraId="709D7922">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财务报表编制</w:t>
            </w:r>
          </w:p>
        </w:tc>
        <w:tc>
          <w:tcPr>
            <w:tcW w:w="1536" w:type="dxa"/>
            <w:tcBorders>
              <w:top w:val="single" w:color="auto" w:sz="4" w:space="0"/>
              <w:left w:val="single" w:color="auto" w:sz="4" w:space="0"/>
              <w:bottom w:val="single" w:color="auto" w:sz="4" w:space="0"/>
              <w:right w:val="single" w:color="auto" w:sz="4" w:space="0"/>
            </w:tcBorders>
            <w:vAlign w:val="center"/>
          </w:tcPr>
          <w:p w14:paraId="643D0CE1">
            <w:pPr>
              <w:pStyle w:val="27"/>
              <w:spacing w:line="240" w:lineRule="auto"/>
              <w:ind w:firstLine="0" w:firstLineChars="0"/>
              <w:jc w:val="left"/>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编制资产负债表、利润表、现金流量表等</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13B8EF4F">
            <w:pPr>
              <w:pStyle w:val="27"/>
              <w:spacing w:line="240" w:lineRule="auto"/>
              <w:ind w:firstLine="0" w:firstLineChars="0"/>
              <w:jc w:val="left"/>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掌握财务报表编制原理和方法，能准确填列报表项目</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6FD7F9B8">
            <w:pPr>
              <w:pStyle w:val="27"/>
              <w:spacing w:line="240" w:lineRule="auto"/>
              <w:ind w:firstLine="0" w:firstLineChars="0"/>
              <w:jc w:val="left"/>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财务报表的结构、编制基础、各项目的计算与填列方法</w:t>
            </w:r>
          </w:p>
        </w:tc>
      </w:tr>
      <w:tr w14:paraId="0D59C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1277" w:type="dxa"/>
            <w:vMerge w:val="continue"/>
            <w:tcBorders>
              <w:left w:val="single" w:color="auto" w:sz="12" w:space="0"/>
              <w:right w:val="single" w:color="auto" w:sz="4" w:space="0"/>
            </w:tcBorders>
            <w:shd w:val="clear" w:color="auto" w:fill="auto"/>
            <w:vAlign w:val="center"/>
          </w:tcPr>
          <w:p w14:paraId="08FA06A1">
            <w:pPr>
              <w:ind w:firstLine="0" w:firstLineChars="0"/>
              <w:jc w:val="center"/>
              <w:rPr>
                <w:rFonts w:hint="eastAsia" w:ascii="仿宋_GB2312" w:hAnsi="仿宋_GB2312" w:cs="仿宋_GB2312"/>
                <w:color w:val="000000"/>
                <w:sz w:val="24"/>
                <w:szCs w:val="24"/>
                <w:lang w:val="en-US" w:eastAsia="zh-CN"/>
              </w:rPr>
            </w:pPr>
          </w:p>
        </w:tc>
        <w:tc>
          <w:tcPr>
            <w:tcW w:w="1724" w:type="dxa"/>
            <w:tcBorders>
              <w:left w:val="single" w:color="auto" w:sz="4" w:space="0"/>
              <w:right w:val="single" w:color="auto" w:sz="4" w:space="0"/>
            </w:tcBorders>
            <w:shd w:val="clear" w:color="auto" w:fill="auto"/>
            <w:vAlign w:val="center"/>
          </w:tcPr>
          <w:p w14:paraId="7ADCF29A">
            <w:pPr>
              <w:ind w:firstLine="0" w:firstLineChars="0"/>
              <w:jc w:val="center"/>
              <w:rPr>
                <w:rFonts w:hint="default" w:ascii="仿宋_GB2312" w:hAnsi="仿宋_GB2312" w:cs="仿宋_GB2312"/>
                <w:color w:val="000000"/>
                <w:sz w:val="24"/>
                <w:szCs w:val="24"/>
                <w:lang w:val="en-US" w:eastAsia="zh-CN"/>
              </w:rPr>
            </w:pPr>
            <w:r>
              <w:rPr>
                <w:rFonts w:hint="eastAsia" w:ascii="仿宋_GB2312" w:hAnsi="仿宋_GB2312" w:cs="仿宋_GB2312"/>
                <w:color w:val="000000"/>
                <w:sz w:val="24"/>
                <w:szCs w:val="24"/>
                <w:lang w:val="en-US" w:eastAsia="zh-CN"/>
              </w:rPr>
              <w:t>财务报表分析</w:t>
            </w:r>
          </w:p>
        </w:tc>
        <w:tc>
          <w:tcPr>
            <w:tcW w:w="1536" w:type="dxa"/>
            <w:tcBorders>
              <w:top w:val="single" w:color="auto" w:sz="4" w:space="0"/>
              <w:left w:val="single" w:color="auto" w:sz="4" w:space="0"/>
              <w:bottom w:val="single" w:color="auto" w:sz="4" w:space="0"/>
              <w:right w:val="single" w:color="auto" w:sz="4" w:space="0"/>
            </w:tcBorders>
            <w:vAlign w:val="center"/>
          </w:tcPr>
          <w:p w14:paraId="0953ECEB">
            <w:pPr>
              <w:pStyle w:val="27"/>
              <w:spacing w:line="240" w:lineRule="auto"/>
              <w:ind w:firstLine="0" w:firstLineChars="0"/>
              <w:jc w:val="left"/>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对财务报表进行分析，为企业决策提供依据</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14:paraId="7482E3BA">
            <w:pPr>
              <w:pStyle w:val="28"/>
              <w:tabs>
                <w:tab w:val="left" w:pos="536"/>
              </w:tabs>
              <w:spacing w:before="2"/>
              <w:jc w:val="both"/>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运用比率分析、趋势分析等方法对报表数据进行解读</w:t>
            </w:r>
          </w:p>
        </w:tc>
        <w:tc>
          <w:tcPr>
            <w:tcW w:w="2347" w:type="dxa"/>
            <w:tcBorders>
              <w:top w:val="single" w:color="auto" w:sz="4" w:space="0"/>
              <w:left w:val="single" w:color="auto" w:sz="4" w:space="0"/>
              <w:bottom w:val="single" w:color="auto" w:sz="4" w:space="0"/>
              <w:right w:val="single" w:color="auto" w:sz="12" w:space="0"/>
            </w:tcBorders>
            <w:shd w:val="clear" w:color="auto" w:fill="auto"/>
            <w:vAlign w:val="center"/>
          </w:tcPr>
          <w:p w14:paraId="7FB2E720">
            <w:pPr>
              <w:pStyle w:val="27"/>
              <w:spacing w:line="240" w:lineRule="auto"/>
              <w:ind w:firstLine="0" w:firstLineChars="0"/>
              <w:jc w:val="left"/>
              <w:rPr>
                <w:rFonts w:hint="eastAsia" w:ascii="仿宋_GB2312" w:hAnsi="仿宋_GB2312" w:eastAsia="仿宋_GB2312" w:cs="仿宋_GB2312"/>
                <w:color w:val="000000"/>
                <w:kern w:val="2"/>
                <w:sz w:val="24"/>
                <w:szCs w:val="24"/>
                <w:lang w:val="en-US" w:eastAsia="zh-CN" w:bidi="ar-SA"/>
              </w:rPr>
            </w:pPr>
            <w:r>
              <w:rPr>
                <w:rFonts w:hint="eastAsia" w:ascii="仿宋_GB2312" w:hAnsi="仿宋_GB2312" w:eastAsia="仿宋_GB2312" w:cs="仿宋_GB2312"/>
                <w:color w:val="000000"/>
                <w:kern w:val="2"/>
                <w:sz w:val="24"/>
                <w:szCs w:val="24"/>
                <w:lang w:val="en-US" w:eastAsia="zh-CN" w:bidi="ar-SA"/>
              </w:rPr>
              <w:t>财务比率计算与分析、企业偿债能力、盈利能力、营运能力分析</w:t>
            </w:r>
          </w:p>
        </w:tc>
      </w:tr>
    </w:tbl>
    <w:p w14:paraId="0AD65DD3">
      <w:pPr>
        <w:pStyle w:val="2"/>
        <w:ind w:firstLine="560"/>
      </w:pPr>
      <w:bookmarkStart w:id="24" w:name="_Toc30005"/>
      <w:bookmarkStart w:id="25" w:name="_Toc27541"/>
      <w:bookmarkStart w:id="26" w:name="_Toc502337266"/>
      <w:r>
        <w:rPr>
          <w:rFonts w:hint="eastAsia"/>
        </w:rPr>
        <w:t>五、课程设计思路</w:t>
      </w:r>
      <w:bookmarkEnd w:id="24"/>
      <w:bookmarkEnd w:id="25"/>
    </w:p>
    <w:bookmarkEnd w:id="26"/>
    <w:p w14:paraId="0FA644EE">
      <w:pPr>
        <w:keepNext w:val="0"/>
        <w:keepLines w:val="0"/>
        <w:widowControl/>
        <w:suppressLineNumbers w:val="0"/>
        <w:jc w:val="left"/>
      </w:pPr>
      <w:bookmarkStart w:id="27" w:name="_Toc8844"/>
      <w:bookmarkStart w:id="28" w:name="_Toc11466"/>
      <w:r>
        <w:rPr>
          <w:rFonts w:ascii="楷体" w:hAnsi="楷体" w:eastAsia="楷体" w:cs="楷体"/>
          <w:color w:val="000000"/>
          <w:kern w:val="0"/>
          <w:sz w:val="31"/>
          <w:szCs w:val="31"/>
          <w:lang w:val="en-US" w:eastAsia="zh-CN" w:bidi="ar"/>
        </w:rPr>
        <w:t xml:space="preserve">1.设计思路 </w:t>
      </w:r>
    </w:p>
    <w:p w14:paraId="794BDD0C">
      <w:pPr>
        <w:keepNext w:val="0"/>
        <w:keepLines w:val="0"/>
        <w:pageBreakBefore w:val="0"/>
        <w:widowControl/>
        <w:suppressLineNumbers w:val="0"/>
        <w:kinsoku/>
        <w:wordWrap/>
        <w:overflowPunct/>
        <w:topLinePunct w:val="0"/>
        <w:autoSpaceDE/>
        <w:autoSpaceDN/>
        <w:bidi w:val="0"/>
        <w:adjustRightInd/>
        <w:snapToGrid/>
        <w:jc w:val="left"/>
        <w:textAlignment w:val="auto"/>
        <w:rPr>
          <w:rFonts w:hint="eastAsia" w:ascii="方正仿宋_GB2312" w:hAnsi="方正仿宋_GB2312" w:eastAsia="方正仿宋_GB2312" w:cs="方正仿宋_GB2312"/>
        </w:rPr>
      </w:pPr>
      <w:r>
        <w:rPr>
          <w:rFonts w:hint="eastAsia" w:ascii="方正仿宋_GB2312" w:hAnsi="方正仿宋_GB2312" w:eastAsia="方正仿宋_GB2312" w:cs="方正仿宋_GB2312"/>
          <w:color w:val="000000"/>
          <w:kern w:val="0"/>
          <w:sz w:val="31"/>
          <w:szCs w:val="31"/>
          <w:lang w:val="en-US" w:eastAsia="zh-CN" w:bidi="ar"/>
        </w:rPr>
        <w:t xml:space="preserve">《基础会计》课程按照工作系统化课程的设计思路，按照 </w:t>
      </w:r>
    </w:p>
    <w:p w14:paraId="7E94EA87">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会计核算的工作过程“设置会计科目---设置账户---借贷记账法运用---填制审核原始凭证---编制审核记账凭证---建立并登记会计账簿---结账对账---财产清查---编制会计报表”分设学习情境，新增 “数据采集→清洗→对接业务系统” 子环节，</w:t>
      </w:r>
      <w:r>
        <w:rPr>
          <w:rFonts w:hint="eastAsia" w:ascii="方正仿宋_GB2312" w:hAnsi="方正仿宋_GB2312" w:eastAsia="方正仿宋_GB2312" w:cs="方正仿宋_GB2312"/>
          <w:color w:val="000000"/>
          <w:kern w:val="0"/>
          <w:sz w:val="31"/>
          <w:szCs w:val="31"/>
          <w:lang w:val="en-US" w:eastAsia="zh-CN" w:bidi="ar"/>
        </w:rPr>
        <w:t>并以务实操作过程为序有机整合理论与实践教学内容形成学习子情境并组织校内仿真实训，引入企业真实数据集（如供应链发票数据），</w:t>
      </w:r>
      <w:r>
        <w:rPr>
          <w:rFonts w:hint="eastAsia" w:ascii="方正仿宋_GB2312" w:hAnsi="方正仿宋_GB2312" w:eastAsia="方正仿宋_GB2312" w:cs="方正仿宋_GB2312"/>
          <w:color w:val="000000"/>
          <w:kern w:val="0"/>
          <w:sz w:val="31"/>
          <w:szCs w:val="31"/>
          <w:lang w:val="en-US" w:eastAsia="zh-CN" w:bidi="ar"/>
        </w:rPr>
        <w:t>实行教、学、做一体化教学。</w:t>
      </w:r>
    </w:p>
    <w:p w14:paraId="51BA1A97">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 xml:space="preserve">    本课程的教学设计应遵循下列几项原则：</w:t>
      </w:r>
    </w:p>
    <w:p w14:paraId="5DA38E70">
      <w:pPr>
        <w:keepNext w:val="0"/>
        <w:keepLines w:val="0"/>
        <w:pageBreakBefore w:val="0"/>
        <w:widowControl/>
        <w:suppressLineNumbers w:val="0"/>
        <w:kinsoku/>
        <w:wordWrap/>
        <w:overflowPunct/>
        <w:topLinePunct w:val="0"/>
        <w:autoSpaceDE/>
        <w:autoSpaceDN/>
        <w:bidi w:val="0"/>
        <w:adjustRightInd/>
        <w:snapToGrid/>
        <w:ind w:left="0" w:leftChars="0" w:firstLine="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 xml:space="preserve">    第一，注重引导学生在各个学习环节认识会计职业的意义、目标和职能，树立会计职业感；</w:t>
      </w:r>
    </w:p>
    <w:p w14:paraId="015B234E">
      <w:pPr>
        <w:keepNext w:val="0"/>
        <w:keepLines w:val="0"/>
        <w:pageBreakBefore w:val="0"/>
        <w:widowControl/>
        <w:suppressLineNumbers w:val="0"/>
        <w:kinsoku/>
        <w:wordWrap/>
        <w:overflowPunct/>
        <w:topLinePunct w:val="0"/>
        <w:autoSpaceDE/>
        <w:autoSpaceDN/>
        <w:bidi w:val="0"/>
        <w:adjustRightInd/>
        <w:snapToGrid/>
        <w:ind w:left="0" w:leftChars="0" w:firstLine="62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第二，按照小企业资金循环的过程进行业务排序，使学生熟悉小企业资金运动过程，熟悉企业经营过程，更好的认知企业经济业务内容；</w:t>
      </w:r>
    </w:p>
    <w:p w14:paraId="26A16E2D">
      <w:pPr>
        <w:keepNext w:val="0"/>
        <w:keepLines w:val="0"/>
        <w:pageBreakBefore w:val="0"/>
        <w:widowControl/>
        <w:suppressLineNumbers w:val="0"/>
        <w:kinsoku/>
        <w:wordWrap/>
        <w:overflowPunct/>
        <w:topLinePunct w:val="0"/>
        <w:autoSpaceDE/>
        <w:autoSpaceDN/>
        <w:bidi w:val="0"/>
        <w:adjustRightInd/>
        <w:snapToGrid/>
        <w:ind w:left="0" w:leftChars="0" w:firstLine="62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第三，注重规范化教学，保证实务教学的规范性；</w:t>
      </w:r>
    </w:p>
    <w:p w14:paraId="21F4F0CF">
      <w:pPr>
        <w:keepNext w:val="0"/>
        <w:keepLines w:val="0"/>
        <w:pageBreakBefore w:val="0"/>
        <w:widowControl/>
        <w:suppressLineNumbers w:val="0"/>
        <w:kinsoku/>
        <w:wordWrap/>
        <w:overflowPunct/>
        <w:topLinePunct w:val="0"/>
        <w:autoSpaceDE/>
        <w:autoSpaceDN/>
        <w:bidi w:val="0"/>
        <w:adjustRightInd/>
        <w:snapToGrid/>
        <w:ind w:left="0" w:leftChars="0" w:firstLine="62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 xml:space="preserve">第四，遵循由浅入深的职业认知规律，把握教学内容的深度。 </w:t>
      </w:r>
    </w:p>
    <w:p w14:paraId="55E4F1DD">
      <w:pPr>
        <w:keepNext w:val="0"/>
        <w:keepLines w:val="0"/>
        <w:pageBreakBefore w:val="0"/>
        <w:widowControl/>
        <w:suppressLineNumbers w:val="0"/>
        <w:kinsoku/>
        <w:wordWrap/>
        <w:overflowPunct/>
        <w:topLinePunct w:val="0"/>
        <w:autoSpaceDE/>
        <w:autoSpaceDN/>
        <w:bidi w:val="0"/>
        <w:adjustRightInd/>
        <w:snapToGrid/>
        <w:ind w:left="0" w:leftChars="0" w:firstLine="620" w:firstLineChars="0"/>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第五，强化 “数据工具与会计业务” 的融合应用，培养业财数据贯通能力。</w:t>
      </w:r>
    </w:p>
    <w:p w14:paraId="21CC94FD">
      <w:pPr>
        <w:keepNext w:val="0"/>
        <w:keepLines w:val="0"/>
        <w:pageBreakBefore w:val="0"/>
        <w:widowControl/>
        <w:numPr>
          <w:ilvl w:val="0"/>
          <w:numId w:val="3"/>
        </w:numPr>
        <w:suppressLineNumbers w:val="0"/>
        <w:kinsoku/>
        <w:wordWrap/>
        <w:overflowPunct/>
        <w:topLinePunct w:val="0"/>
        <w:autoSpaceDE/>
        <w:autoSpaceDN/>
        <w:bidi w:val="0"/>
        <w:adjustRightInd/>
        <w:snapToGrid/>
        <w:jc w:val="left"/>
        <w:textAlignment w:val="auto"/>
        <w:rPr>
          <w:rFonts w:hint="eastAsia" w:ascii="方正仿宋_GB2312" w:hAnsi="方正仿宋_GB2312" w:eastAsia="方正仿宋_GB2312" w:cs="方正仿宋_GB2312"/>
          <w:color w:val="000000"/>
          <w:kern w:val="0"/>
          <w:sz w:val="31"/>
          <w:szCs w:val="31"/>
          <w:lang w:val="en-US" w:eastAsia="zh-CN" w:bidi="ar"/>
        </w:rPr>
      </w:pPr>
      <w:r>
        <w:rPr>
          <w:rFonts w:hint="eastAsia" w:ascii="方正仿宋_GB2312" w:hAnsi="方正仿宋_GB2312" w:eastAsia="方正仿宋_GB2312" w:cs="方正仿宋_GB2312"/>
          <w:color w:val="000000"/>
          <w:kern w:val="0"/>
          <w:sz w:val="31"/>
          <w:szCs w:val="31"/>
          <w:lang w:val="en-US" w:eastAsia="zh-CN" w:bidi="ar"/>
        </w:rPr>
        <w:t>设计依据</w:t>
      </w:r>
    </w:p>
    <w:p w14:paraId="2037747D">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auto"/>
        <w:rPr>
          <w:rFonts w:hint="eastAsia" w:ascii="方正仿宋_GB2312" w:hAnsi="方正仿宋_GB2312" w:eastAsia="方正仿宋_GB2312" w:cs="方正仿宋_GB2312"/>
        </w:rPr>
      </w:pPr>
      <w:r>
        <w:rPr>
          <w:rFonts w:hint="eastAsia" w:ascii="方正仿宋_GB2312" w:hAnsi="方正仿宋_GB2312" w:eastAsia="方正仿宋_GB2312" w:cs="方正仿宋_GB2312"/>
          <w:color w:val="000000"/>
          <w:kern w:val="0"/>
          <w:sz w:val="31"/>
          <w:szCs w:val="31"/>
          <w:lang w:val="en-US" w:eastAsia="zh-CN" w:bidi="ar"/>
        </w:rPr>
        <w:t xml:space="preserve">    以职业教育国家教学标准体系为指导，根据专业人才培养方案和依据，依据“会计职业认知与会计基本理论理解”和“会计核算的基本方法”的职业认知基本规律形成两大部分教学内容，其中以会计核算的基本方法作为学习的主要内容制定了《基础会计》课程标准。</w:t>
      </w:r>
    </w:p>
    <w:p w14:paraId="1CE23C34">
      <w:pPr>
        <w:pStyle w:val="2"/>
        <w:ind w:firstLine="0" w:firstLineChars="0"/>
      </w:pPr>
      <w:r>
        <w:rPr>
          <w:rFonts w:hint="eastAsia"/>
        </w:rPr>
        <w:t>六、课程结构与内容</w:t>
      </w:r>
      <w:bookmarkEnd w:id="27"/>
      <w:bookmarkEnd w:id="28"/>
      <w:bookmarkStart w:id="29" w:name="_Toc19213"/>
      <w:bookmarkStart w:id="30" w:name="_Toc7467"/>
    </w:p>
    <w:p w14:paraId="2E2C554F">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表3. 课程设计方案</w:t>
      </w:r>
      <w:bookmarkEnd w:id="29"/>
      <w:bookmarkEnd w:id="30"/>
    </w:p>
    <w:tbl>
      <w:tblPr>
        <w:tblStyle w:val="14"/>
        <w:tblW w:w="894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1"/>
        <w:gridCol w:w="1016"/>
        <w:gridCol w:w="1183"/>
        <w:gridCol w:w="1936"/>
        <w:gridCol w:w="1842"/>
        <w:gridCol w:w="1843"/>
        <w:gridCol w:w="567"/>
      </w:tblGrid>
      <w:tr w14:paraId="29E6EC6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78" w:hRule="atLeast"/>
        </w:trPr>
        <w:tc>
          <w:tcPr>
            <w:tcW w:w="561" w:type="dxa"/>
            <w:tcBorders>
              <w:tl2br w:val="nil"/>
              <w:tr2bl w:val="nil"/>
            </w:tcBorders>
            <w:vAlign w:val="center"/>
          </w:tcPr>
          <w:p w14:paraId="75D176F0">
            <w:pPr>
              <w:ind w:firstLine="0" w:firstLineChars="0"/>
              <w:jc w:val="center"/>
              <w:rPr>
                <w:b/>
                <w:bCs/>
                <w:sz w:val="24"/>
                <w:szCs w:val="24"/>
              </w:rPr>
            </w:pPr>
            <w:r>
              <w:rPr>
                <w:rFonts w:hint="eastAsia"/>
                <w:b/>
                <w:bCs/>
                <w:sz w:val="24"/>
                <w:szCs w:val="24"/>
              </w:rPr>
              <w:t>序号</w:t>
            </w:r>
          </w:p>
        </w:tc>
        <w:tc>
          <w:tcPr>
            <w:tcW w:w="1016" w:type="dxa"/>
            <w:tcBorders>
              <w:tl2br w:val="nil"/>
              <w:tr2bl w:val="nil"/>
            </w:tcBorders>
            <w:vAlign w:val="center"/>
          </w:tcPr>
          <w:p w14:paraId="7FCCBAB6">
            <w:pPr>
              <w:ind w:firstLine="0" w:firstLineChars="0"/>
              <w:jc w:val="center"/>
              <w:rPr>
                <w:b/>
                <w:bCs/>
                <w:sz w:val="24"/>
                <w:szCs w:val="24"/>
              </w:rPr>
            </w:pPr>
            <w:r>
              <w:rPr>
                <w:rFonts w:hint="eastAsia"/>
                <w:b/>
                <w:bCs/>
                <w:sz w:val="24"/>
                <w:szCs w:val="24"/>
              </w:rPr>
              <w:t>课程内容</w:t>
            </w:r>
          </w:p>
          <w:p w14:paraId="6C23DD1D">
            <w:pPr>
              <w:ind w:firstLine="0" w:firstLineChars="0"/>
              <w:jc w:val="center"/>
              <w:rPr>
                <w:b/>
                <w:bCs/>
                <w:sz w:val="24"/>
                <w:szCs w:val="24"/>
              </w:rPr>
            </w:pPr>
            <w:r>
              <w:rPr>
                <w:rFonts w:hint="eastAsia"/>
                <w:b/>
                <w:bCs/>
                <w:sz w:val="24"/>
                <w:szCs w:val="24"/>
              </w:rPr>
              <w:t>（模块/项目）</w:t>
            </w:r>
          </w:p>
        </w:tc>
        <w:tc>
          <w:tcPr>
            <w:tcW w:w="1183" w:type="dxa"/>
            <w:tcBorders>
              <w:tl2br w:val="nil"/>
              <w:tr2bl w:val="nil"/>
            </w:tcBorders>
            <w:vAlign w:val="center"/>
          </w:tcPr>
          <w:p w14:paraId="36E68B43">
            <w:pPr>
              <w:ind w:firstLine="0" w:firstLineChars="0"/>
              <w:jc w:val="center"/>
              <w:rPr>
                <w:b/>
                <w:bCs/>
                <w:sz w:val="24"/>
                <w:szCs w:val="24"/>
              </w:rPr>
            </w:pPr>
            <w:r>
              <w:rPr>
                <w:rFonts w:hint="eastAsia"/>
                <w:b/>
                <w:bCs/>
                <w:sz w:val="24"/>
                <w:szCs w:val="24"/>
              </w:rPr>
              <w:t>学习任务</w:t>
            </w:r>
          </w:p>
        </w:tc>
        <w:tc>
          <w:tcPr>
            <w:tcW w:w="1936" w:type="dxa"/>
            <w:tcBorders>
              <w:tl2br w:val="nil"/>
              <w:tr2bl w:val="nil"/>
            </w:tcBorders>
            <w:vAlign w:val="center"/>
          </w:tcPr>
          <w:p w14:paraId="45794834">
            <w:pPr>
              <w:ind w:firstLine="0" w:firstLineChars="0"/>
              <w:jc w:val="center"/>
              <w:rPr>
                <w:b/>
                <w:bCs/>
                <w:sz w:val="24"/>
                <w:szCs w:val="24"/>
              </w:rPr>
            </w:pPr>
            <w:r>
              <w:rPr>
                <w:rFonts w:hint="eastAsia"/>
                <w:b/>
                <w:bCs/>
                <w:sz w:val="24"/>
                <w:szCs w:val="24"/>
              </w:rPr>
              <w:t>学习内容和要求</w:t>
            </w:r>
          </w:p>
        </w:tc>
        <w:tc>
          <w:tcPr>
            <w:tcW w:w="1842" w:type="dxa"/>
            <w:tcBorders>
              <w:tl2br w:val="nil"/>
              <w:tr2bl w:val="nil"/>
            </w:tcBorders>
            <w:vAlign w:val="center"/>
          </w:tcPr>
          <w:p w14:paraId="58D3DBF0">
            <w:pPr>
              <w:ind w:firstLine="0" w:firstLineChars="0"/>
              <w:jc w:val="center"/>
              <w:rPr>
                <w:b/>
                <w:bCs/>
                <w:sz w:val="24"/>
                <w:szCs w:val="24"/>
              </w:rPr>
            </w:pPr>
            <w:r>
              <w:rPr>
                <w:rFonts w:hint="eastAsia"/>
                <w:b/>
                <w:bCs/>
                <w:sz w:val="24"/>
                <w:szCs w:val="24"/>
              </w:rPr>
              <w:t>教学设计</w:t>
            </w:r>
          </w:p>
        </w:tc>
        <w:tc>
          <w:tcPr>
            <w:tcW w:w="1843" w:type="dxa"/>
            <w:tcBorders>
              <w:tl2br w:val="nil"/>
              <w:tr2bl w:val="nil"/>
            </w:tcBorders>
            <w:vAlign w:val="center"/>
          </w:tcPr>
          <w:p w14:paraId="52A9795A">
            <w:pPr>
              <w:ind w:firstLine="0" w:firstLineChars="0"/>
              <w:jc w:val="center"/>
              <w:rPr>
                <w:b/>
                <w:bCs/>
                <w:sz w:val="24"/>
                <w:szCs w:val="24"/>
              </w:rPr>
            </w:pPr>
            <w:r>
              <w:rPr>
                <w:rFonts w:hint="eastAsia"/>
                <w:b/>
                <w:bCs/>
                <w:sz w:val="24"/>
                <w:szCs w:val="24"/>
              </w:rPr>
              <w:t>课程思政设计</w:t>
            </w:r>
          </w:p>
        </w:tc>
        <w:tc>
          <w:tcPr>
            <w:tcW w:w="567" w:type="dxa"/>
            <w:tcBorders>
              <w:tl2br w:val="nil"/>
              <w:tr2bl w:val="nil"/>
            </w:tcBorders>
            <w:vAlign w:val="center"/>
          </w:tcPr>
          <w:p w14:paraId="4AA15281">
            <w:pPr>
              <w:ind w:firstLine="0" w:firstLineChars="0"/>
              <w:jc w:val="center"/>
              <w:rPr>
                <w:b/>
                <w:bCs/>
                <w:sz w:val="24"/>
                <w:szCs w:val="24"/>
              </w:rPr>
            </w:pPr>
            <w:r>
              <w:rPr>
                <w:rFonts w:hint="eastAsia"/>
                <w:b/>
                <w:bCs/>
                <w:sz w:val="24"/>
                <w:szCs w:val="24"/>
              </w:rPr>
              <w:t>学时</w:t>
            </w:r>
          </w:p>
        </w:tc>
      </w:tr>
      <w:tr w14:paraId="468507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10" w:hRule="atLeast"/>
        </w:trPr>
        <w:tc>
          <w:tcPr>
            <w:tcW w:w="561" w:type="dxa"/>
            <w:tcBorders>
              <w:tl2br w:val="nil"/>
              <w:tr2bl w:val="nil"/>
            </w:tcBorders>
            <w:vAlign w:val="center"/>
          </w:tcPr>
          <w:p w14:paraId="150C11CB">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w:t>
            </w:r>
          </w:p>
        </w:tc>
        <w:tc>
          <w:tcPr>
            <w:tcW w:w="1016" w:type="dxa"/>
            <w:tcBorders>
              <w:tl2br w:val="nil"/>
              <w:tr2bl w:val="nil"/>
            </w:tcBorders>
            <w:vAlign w:val="center"/>
          </w:tcPr>
          <w:p w14:paraId="0B1344F5">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第一章</w:t>
            </w:r>
          </w:p>
        </w:tc>
        <w:tc>
          <w:tcPr>
            <w:tcW w:w="1183" w:type="dxa"/>
            <w:tcBorders>
              <w:tl2br w:val="nil"/>
              <w:tr2bl w:val="nil"/>
            </w:tcBorders>
            <w:vAlign w:val="center"/>
          </w:tcPr>
          <w:p w14:paraId="7D4924EC">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概述</w:t>
            </w:r>
          </w:p>
        </w:tc>
        <w:tc>
          <w:tcPr>
            <w:tcW w:w="1936" w:type="dxa"/>
            <w:tcBorders>
              <w:tl2br w:val="nil"/>
              <w:tr2bl w:val="nil"/>
            </w:tcBorders>
            <w:vAlign w:val="center"/>
          </w:tcPr>
          <w:p w14:paraId="3C9EB9D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1.掌握会计的概念、职能与对 象。★ </w:t>
            </w:r>
          </w:p>
          <w:p w14:paraId="71EF3DC0">
            <w:pPr>
              <w:spacing w:line="240" w:lineRule="auto"/>
              <w:ind w:firstLine="0" w:firstLineChars="0"/>
              <w:jc w:val="both"/>
            </w:pPr>
            <w:r>
              <w:rPr>
                <w:rFonts w:hint="eastAsia" w:ascii="仿宋_GB2312" w:hAnsi="仿宋_GB2312" w:cs="仿宋_GB2312"/>
                <w:sz w:val="24"/>
                <w:szCs w:val="24"/>
                <w:lang w:val="en-US" w:eastAsia="zh-CN"/>
              </w:rPr>
              <w:t>2.了解会计的展及会计法规体系。</w:t>
            </w:r>
          </w:p>
          <w:p w14:paraId="23E71FBD">
            <w:pPr>
              <w:spacing w:line="240" w:lineRule="auto"/>
              <w:ind w:firstLine="0" w:firstLineChars="0"/>
              <w:jc w:val="both"/>
              <w:rPr>
                <w:rFonts w:ascii="仿宋_GB2312"/>
                <w:sz w:val="24"/>
                <w:szCs w:val="24"/>
              </w:rPr>
            </w:pPr>
          </w:p>
        </w:tc>
        <w:tc>
          <w:tcPr>
            <w:tcW w:w="1842" w:type="dxa"/>
            <w:tcBorders>
              <w:tl2br w:val="nil"/>
              <w:tr2bl w:val="nil"/>
            </w:tcBorders>
          </w:tcPr>
          <w:p w14:paraId="7788EF9E">
            <w:pPr>
              <w:spacing w:line="240" w:lineRule="auto"/>
              <w:ind w:firstLine="0" w:firstLineChars="0"/>
              <w:jc w:val="both"/>
              <w:rPr>
                <w:rFonts w:hint="eastAsia" w:ascii="仿宋_GB2312" w:hAnsi="仿宋_GB2312" w:cs="仿宋_GB2312"/>
                <w:sz w:val="24"/>
                <w:szCs w:val="24"/>
                <w:lang w:val="en-US" w:eastAsia="zh-CN"/>
              </w:rPr>
            </w:pPr>
          </w:p>
          <w:p w14:paraId="522CA38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 </w:t>
            </w:r>
          </w:p>
          <w:p w14:paraId="045299A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理解会计的概 </w:t>
            </w:r>
          </w:p>
          <w:p w14:paraId="0555348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念，能说出会计 </w:t>
            </w:r>
          </w:p>
          <w:p w14:paraId="35FAE9E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的对象能解释 </w:t>
            </w:r>
          </w:p>
          <w:p w14:paraId="7BD46B8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会计的基本职 </w:t>
            </w:r>
          </w:p>
          <w:p w14:paraId="500E955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能及各职能之 </w:t>
            </w:r>
          </w:p>
          <w:p w14:paraId="48B9312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间的相互关系。</w:t>
            </w:r>
          </w:p>
          <w:p w14:paraId="17DB097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对会计的概念、职能与对象进行测试。</w:t>
            </w:r>
          </w:p>
          <w:p w14:paraId="74B96335">
            <w:pPr>
              <w:spacing w:line="240" w:lineRule="auto"/>
              <w:ind w:firstLine="0" w:firstLineChars="0"/>
              <w:jc w:val="both"/>
              <w:rPr>
                <w:rFonts w:hint="eastAsia" w:ascii="仿宋_GB2312" w:hAnsi="仿宋_GB2312" w:cs="仿宋_GB2312"/>
                <w:sz w:val="24"/>
                <w:szCs w:val="24"/>
                <w:lang w:val="en-US" w:eastAsia="zh-CN"/>
              </w:rPr>
            </w:pPr>
          </w:p>
        </w:tc>
        <w:tc>
          <w:tcPr>
            <w:tcW w:w="1843" w:type="dxa"/>
            <w:tcBorders>
              <w:tl2br w:val="nil"/>
              <w:tr2bl w:val="nil"/>
            </w:tcBorders>
          </w:tcPr>
          <w:p w14:paraId="73836DB4">
            <w:pPr>
              <w:spacing w:line="240" w:lineRule="auto"/>
              <w:ind w:firstLine="0" w:firstLineChars="0"/>
              <w:jc w:val="both"/>
              <w:rPr>
                <w:rFonts w:hint="eastAsia" w:ascii="仿宋_GB2312" w:hAnsi="仿宋_GB2312" w:cs="仿宋_GB2312"/>
                <w:sz w:val="24"/>
                <w:szCs w:val="24"/>
                <w:lang w:val="en-US" w:eastAsia="zh-CN"/>
              </w:rPr>
            </w:pPr>
          </w:p>
          <w:p w14:paraId="7214665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初步涉及会计行业的背景知识，感受会计工作的作用，促进学生形成正确的职业道德意识 ，培养学生企计规范意识。</w:t>
            </w:r>
          </w:p>
          <w:p w14:paraId="0911DCC9">
            <w:pPr>
              <w:spacing w:line="240" w:lineRule="auto"/>
              <w:ind w:firstLine="0" w:firstLineChars="0"/>
              <w:jc w:val="both"/>
              <w:rPr>
                <w:rFonts w:ascii="仿宋_GB2312" w:hAnsi="仿宋_GB2312" w:cs="仿宋_GB2312"/>
                <w:sz w:val="24"/>
                <w:szCs w:val="24"/>
              </w:rPr>
            </w:pPr>
          </w:p>
        </w:tc>
        <w:tc>
          <w:tcPr>
            <w:tcW w:w="567" w:type="dxa"/>
            <w:tcBorders>
              <w:tl2br w:val="nil"/>
              <w:tr2bl w:val="nil"/>
            </w:tcBorders>
            <w:vAlign w:val="center"/>
          </w:tcPr>
          <w:p w14:paraId="6E22C24D">
            <w:pPr>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p>
        </w:tc>
      </w:tr>
      <w:tr w14:paraId="49A9E3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08" w:hRule="atLeast"/>
        </w:trPr>
        <w:tc>
          <w:tcPr>
            <w:tcW w:w="561" w:type="dxa"/>
            <w:tcBorders>
              <w:tl2br w:val="nil"/>
              <w:tr2bl w:val="nil"/>
            </w:tcBorders>
            <w:vAlign w:val="center"/>
          </w:tcPr>
          <w:p w14:paraId="346C75F5">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p>
        </w:tc>
        <w:tc>
          <w:tcPr>
            <w:tcW w:w="1016" w:type="dxa"/>
            <w:tcBorders>
              <w:tl2br w:val="nil"/>
              <w:tr2bl w:val="nil"/>
            </w:tcBorders>
            <w:vAlign w:val="center"/>
          </w:tcPr>
          <w:p w14:paraId="3FF60CF9">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第二章</w:t>
            </w:r>
          </w:p>
        </w:tc>
        <w:tc>
          <w:tcPr>
            <w:tcW w:w="1183" w:type="dxa"/>
            <w:tcBorders>
              <w:tl2br w:val="nil"/>
              <w:tr2bl w:val="nil"/>
            </w:tcBorders>
            <w:vAlign w:val="center"/>
          </w:tcPr>
          <w:p w14:paraId="30D2D43E">
            <w:pPr>
              <w:spacing w:line="240" w:lineRule="auto"/>
              <w:ind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会计要素与 </w:t>
            </w:r>
          </w:p>
          <w:p w14:paraId="0440E734">
            <w:pPr>
              <w:spacing w:line="240" w:lineRule="auto"/>
              <w:ind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会计平衡公 </w:t>
            </w:r>
          </w:p>
          <w:p w14:paraId="0CE83584">
            <w:pPr>
              <w:spacing w:line="240" w:lineRule="auto"/>
              <w:ind w:firstLine="0" w:firstLineChars="0"/>
              <w:jc w:val="center"/>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式</w:t>
            </w:r>
          </w:p>
          <w:p w14:paraId="5D5C858C">
            <w:pPr>
              <w:spacing w:line="240" w:lineRule="auto"/>
              <w:ind w:firstLine="0" w:firstLineChars="0"/>
              <w:jc w:val="center"/>
              <w:rPr>
                <w:rFonts w:hint="eastAsia" w:ascii="仿宋_GB2312" w:hAnsi="仿宋_GB2312" w:cs="仿宋_GB2312"/>
                <w:sz w:val="24"/>
                <w:szCs w:val="24"/>
                <w:lang w:val="en-US" w:eastAsia="zh-CN"/>
              </w:rPr>
            </w:pPr>
          </w:p>
        </w:tc>
        <w:tc>
          <w:tcPr>
            <w:tcW w:w="1936" w:type="dxa"/>
            <w:tcBorders>
              <w:tl2br w:val="nil"/>
              <w:tr2bl w:val="nil"/>
            </w:tcBorders>
            <w:vAlign w:val="center"/>
          </w:tcPr>
          <w:p w14:paraId="60E17F31">
            <w:pPr>
              <w:spacing w:line="240" w:lineRule="auto"/>
              <w:ind w:firstLine="0" w:firstLineChars="0"/>
              <w:jc w:val="both"/>
              <w:rPr>
                <w:rFonts w:hint="eastAsia" w:ascii="仿宋_GB2312" w:hAnsi="仿宋_GB2312" w:cs="仿宋_GB2312"/>
                <w:sz w:val="24"/>
                <w:szCs w:val="24"/>
                <w:lang w:val="en-US" w:eastAsia="zh-CN"/>
              </w:rPr>
            </w:pPr>
          </w:p>
          <w:p w14:paraId="405D15F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1.熟悉会计要素的概念，特征和主要内容。 </w:t>
            </w:r>
          </w:p>
          <w:p w14:paraId="1DAE4F0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2.熟悉会计等式。★ </w:t>
            </w:r>
          </w:p>
          <w:p w14:paraId="0A622CE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3.能分析不同经济业务类型对会计要素的影响。</w:t>
            </w:r>
          </w:p>
          <w:p w14:paraId="33DCF6E9">
            <w:pPr>
              <w:spacing w:line="240" w:lineRule="auto"/>
              <w:ind w:firstLine="0" w:firstLineChars="0"/>
              <w:jc w:val="both"/>
              <w:rPr>
                <w:rFonts w:hint="eastAsia" w:ascii="仿宋_GB2312" w:hAnsi="仿宋_GB2312" w:cs="仿宋_GB2312"/>
                <w:sz w:val="24"/>
                <w:szCs w:val="24"/>
                <w:lang w:val="en-US" w:eastAsia="zh-CN"/>
              </w:rPr>
            </w:pPr>
          </w:p>
          <w:p w14:paraId="260054DF">
            <w:pPr>
              <w:spacing w:line="240" w:lineRule="auto"/>
              <w:ind w:firstLine="0" w:firstLineChars="0"/>
              <w:jc w:val="both"/>
              <w:rPr>
                <w:rFonts w:hint="eastAsia" w:ascii="仿宋_GB2312" w:hAnsi="仿宋_GB2312" w:cs="仿宋_GB2312"/>
                <w:sz w:val="24"/>
                <w:szCs w:val="24"/>
                <w:lang w:val="en-US" w:eastAsia="zh-CN"/>
              </w:rPr>
            </w:pPr>
          </w:p>
        </w:tc>
        <w:tc>
          <w:tcPr>
            <w:tcW w:w="1842" w:type="dxa"/>
            <w:tcBorders>
              <w:tl2br w:val="nil"/>
              <w:tr2bl w:val="nil"/>
            </w:tcBorders>
            <w:vAlign w:val="center"/>
          </w:tcPr>
          <w:p w14:paraId="3E937DD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1.熟悉会计要 </w:t>
            </w:r>
          </w:p>
          <w:p w14:paraId="37AE224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素的概念 </w:t>
            </w:r>
          </w:p>
          <w:p w14:paraId="1F686BE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2.记住会计等 </w:t>
            </w:r>
          </w:p>
          <w:p w14:paraId="3C3E5C7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式</w:t>
            </w:r>
          </w:p>
          <w:p w14:paraId="146C25B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通过典型案例及热点问题的讨论，在讨论中澄清模糊认识。</w:t>
            </w:r>
          </w:p>
          <w:p w14:paraId="26B07586">
            <w:pPr>
              <w:spacing w:line="240" w:lineRule="auto"/>
              <w:ind w:firstLine="0" w:firstLineChars="0"/>
              <w:jc w:val="both"/>
              <w:rPr>
                <w:rFonts w:hint="eastAsia" w:ascii="仿宋_GB2312" w:hAnsi="仿宋_GB2312" w:cs="仿宋_GB2312"/>
                <w:sz w:val="24"/>
                <w:szCs w:val="24"/>
                <w:lang w:val="en-US" w:eastAsia="zh-CN"/>
              </w:rPr>
            </w:pPr>
          </w:p>
        </w:tc>
        <w:tc>
          <w:tcPr>
            <w:tcW w:w="1843" w:type="dxa"/>
            <w:tcBorders>
              <w:tl2br w:val="nil"/>
              <w:tr2bl w:val="nil"/>
            </w:tcBorders>
            <w:vAlign w:val="center"/>
          </w:tcPr>
          <w:p w14:paraId="6648928D">
            <w:pPr>
              <w:spacing w:line="240" w:lineRule="auto"/>
              <w:ind w:firstLine="0" w:firstLineChars="0"/>
              <w:jc w:val="both"/>
              <w:rPr>
                <w:rFonts w:hint="eastAsia" w:ascii="仿宋_GB2312" w:hAnsi="仿宋_GB2312" w:cs="仿宋_GB2312"/>
                <w:sz w:val="24"/>
                <w:szCs w:val="24"/>
                <w:lang w:val="en-US" w:eastAsia="zh-CN"/>
              </w:rPr>
            </w:pPr>
          </w:p>
          <w:p w14:paraId="77B65FA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培养学生严谨的书写习惯。</w:t>
            </w:r>
          </w:p>
        </w:tc>
        <w:tc>
          <w:tcPr>
            <w:tcW w:w="567" w:type="dxa"/>
            <w:tcBorders>
              <w:tl2br w:val="nil"/>
              <w:tr2bl w:val="nil"/>
            </w:tcBorders>
            <w:vAlign w:val="center"/>
          </w:tcPr>
          <w:p w14:paraId="2F6C10D9">
            <w:pPr>
              <w:keepNext w:val="0"/>
              <w:keepLines w:val="0"/>
              <w:widowControl/>
              <w:suppressLineNumbers w:val="0"/>
              <w:jc w:val="left"/>
            </w:pPr>
            <w:r>
              <w:rPr>
                <w:rFonts w:ascii="仿宋" w:hAnsi="仿宋" w:eastAsia="仿宋" w:cs="仿宋"/>
                <w:color w:val="000000"/>
                <w:kern w:val="0"/>
                <w:sz w:val="31"/>
                <w:szCs w:val="31"/>
                <w:lang w:val="en-US" w:eastAsia="zh-CN" w:bidi="ar"/>
              </w:rPr>
              <w:t>培</w:t>
            </w:r>
          </w:p>
          <w:p w14:paraId="54AB4604">
            <w:pPr>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p>
        </w:tc>
      </w:tr>
      <w:tr w14:paraId="655BD2F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1593A7A7">
            <w:pPr>
              <w:spacing w:line="240" w:lineRule="auto"/>
              <w:ind w:firstLine="0" w:firstLineChars="0"/>
              <w:jc w:val="center"/>
              <w:rPr>
                <w:rFonts w:ascii="仿宋_GB2312" w:hAnsi="仿宋_GB2312" w:cs="仿宋_GB2312"/>
                <w:sz w:val="24"/>
                <w:szCs w:val="24"/>
              </w:rPr>
            </w:pPr>
            <w:r>
              <w:rPr>
                <w:rFonts w:hint="eastAsia" w:ascii="仿宋_GB2312" w:hAnsi="仿宋_GB2312" w:cs="仿宋_GB2312"/>
                <w:sz w:val="24"/>
                <w:szCs w:val="24"/>
              </w:rPr>
              <w:t>3</w:t>
            </w:r>
          </w:p>
        </w:tc>
        <w:tc>
          <w:tcPr>
            <w:tcW w:w="1016" w:type="dxa"/>
            <w:tcBorders>
              <w:tl2br w:val="nil"/>
              <w:tr2bl w:val="nil"/>
            </w:tcBorders>
            <w:vAlign w:val="center"/>
          </w:tcPr>
          <w:p w14:paraId="5C937627">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第三章</w:t>
            </w:r>
          </w:p>
        </w:tc>
        <w:tc>
          <w:tcPr>
            <w:tcW w:w="1183" w:type="dxa"/>
            <w:tcBorders>
              <w:tl2br w:val="nil"/>
              <w:tr2bl w:val="nil"/>
            </w:tcBorders>
            <w:vAlign w:val="center"/>
          </w:tcPr>
          <w:p w14:paraId="202890C2">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账户与复式记账</w:t>
            </w:r>
          </w:p>
        </w:tc>
        <w:tc>
          <w:tcPr>
            <w:tcW w:w="1936" w:type="dxa"/>
            <w:tcBorders>
              <w:tl2br w:val="nil"/>
              <w:tr2bl w:val="nil"/>
            </w:tcBorders>
            <w:vAlign w:val="center"/>
          </w:tcPr>
          <w:p w14:paraId="31DA640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1.能陈述会计科目的概念;能区别会计科目类型。 </w:t>
            </w:r>
          </w:p>
          <w:p w14:paraId="109DE55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2.能解释复式记账的基本原 </w:t>
            </w:r>
          </w:p>
          <w:p w14:paraId="0703606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理; </w:t>
            </w:r>
          </w:p>
          <w:p w14:paraId="6B49465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3.能说出借贷记账法的概念和基本内容; </w:t>
            </w:r>
          </w:p>
          <w:p w14:paraId="42338FF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4.明确账户的对应关系和对应账户的含义。能独立分析各类经济业务并根据企业实际情况设置账户。能够使用会计分录记录简单 </w:t>
            </w:r>
          </w:p>
          <w:p w14:paraId="6AD3B3C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的经济业务。</w:t>
            </w:r>
          </w:p>
          <w:p w14:paraId="4B3A7C4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5.能进行试算平衡;能列举账 </w:t>
            </w:r>
          </w:p>
          <w:p w14:paraId="08CE53A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户平行登记的要点。能熟练地 </w:t>
            </w:r>
          </w:p>
          <w:p w14:paraId="18142EF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编制简单的会计分录。★</w:t>
            </w:r>
          </w:p>
          <w:p w14:paraId="43515CCD">
            <w:pPr>
              <w:spacing w:line="240" w:lineRule="auto"/>
              <w:ind w:firstLine="0" w:firstLineChars="0"/>
              <w:jc w:val="both"/>
              <w:rPr>
                <w:rFonts w:ascii="仿宋_GB2312"/>
                <w:sz w:val="24"/>
                <w:szCs w:val="24"/>
              </w:rPr>
            </w:pPr>
          </w:p>
        </w:tc>
        <w:tc>
          <w:tcPr>
            <w:tcW w:w="1842" w:type="dxa"/>
            <w:tcBorders>
              <w:tl2br w:val="nil"/>
              <w:tr2bl w:val="nil"/>
            </w:tcBorders>
            <w:vAlign w:val="center"/>
          </w:tcPr>
          <w:p w14:paraId="69895A5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能独立分析各 </w:t>
            </w:r>
          </w:p>
          <w:p w14:paraId="034B7FE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类经济业务并 </w:t>
            </w:r>
          </w:p>
          <w:p w14:paraId="4F0ADEE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根据企业实际 </w:t>
            </w:r>
          </w:p>
          <w:p w14:paraId="1A1EECB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情况设置账户。 </w:t>
            </w:r>
          </w:p>
          <w:p w14:paraId="0C6F7D02">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能够使用会计 </w:t>
            </w:r>
          </w:p>
          <w:p w14:paraId="4AE218A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分录记录简单 </w:t>
            </w:r>
          </w:p>
          <w:p w14:paraId="3C556D0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的经济业务。</w:t>
            </w:r>
          </w:p>
          <w:p w14:paraId="6CB3E88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以讲授为主， </w:t>
            </w:r>
          </w:p>
          <w:p w14:paraId="76B69A92">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辅之以提问、讨论等方 </w:t>
            </w:r>
          </w:p>
          <w:p w14:paraId="094716F2">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法进行教学。</w:t>
            </w:r>
          </w:p>
          <w:p w14:paraId="3A9F50E9">
            <w:pPr>
              <w:spacing w:line="240" w:lineRule="auto"/>
              <w:ind w:firstLine="0" w:firstLineChars="0"/>
              <w:jc w:val="both"/>
              <w:rPr>
                <w:rFonts w:ascii="仿宋_GB2312" w:hAnsi="仿宋_GB2312" w:cs="仿宋_GB2312"/>
                <w:sz w:val="24"/>
                <w:szCs w:val="24"/>
              </w:rPr>
            </w:pPr>
          </w:p>
        </w:tc>
        <w:tc>
          <w:tcPr>
            <w:tcW w:w="1843" w:type="dxa"/>
            <w:tcBorders>
              <w:tl2br w:val="nil"/>
              <w:tr2bl w:val="nil"/>
            </w:tcBorders>
            <w:vAlign w:val="center"/>
          </w:tcPr>
          <w:p w14:paraId="4734B91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理解账户在记录经济 </w:t>
            </w:r>
          </w:p>
          <w:p w14:paraId="0DCB380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业务中所起到的作用， </w:t>
            </w:r>
          </w:p>
          <w:p w14:paraId="43BD829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培养学生企计规范意 </w:t>
            </w:r>
          </w:p>
          <w:p w14:paraId="01B6130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识。</w:t>
            </w:r>
          </w:p>
          <w:p w14:paraId="643972F0">
            <w:pPr>
              <w:spacing w:line="240" w:lineRule="auto"/>
              <w:ind w:firstLine="0" w:firstLineChars="0"/>
              <w:jc w:val="center"/>
              <w:rPr>
                <w:rFonts w:ascii="仿宋_GB2312" w:hAnsi="仿宋_GB2312" w:cs="仿宋_GB2312"/>
                <w:sz w:val="24"/>
                <w:szCs w:val="24"/>
              </w:rPr>
            </w:pPr>
          </w:p>
        </w:tc>
        <w:tc>
          <w:tcPr>
            <w:tcW w:w="567" w:type="dxa"/>
            <w:tcBorders>
              <w:tl2br w:val="nil"/>
              <w:tr2bl w:val="nil"/>
            </w:tcBorders>
            <w:vAlign w:val="center"/>
          </w:tcPr>
          <w:p w14:paraId="0AFB4A3E">
            <w:pPr>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3</w:t>
            </w:r>
          </w:p>
        </w:tc>
      </w:tr>
      <w:tr w14:paraId="5B8AA41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5F8744CA">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4</w:t>
            </w:r>
          </w:p>
        </w:tc>
        <w:tc>
          <w:tcPr>
            <w:tcW w:w="1016" w:type="dxa"/>
            <w:tcBorders>
              <w:tl2br w:val="nil"/>
              <w:tr2bl w:val="nil"/>
            </w:tcBorders>
            <w:vAlign w:val="center"/>
          </w:tcPr>
          <w:p w14:paraId="6366D41E">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第四章</w:t>
            </w:r>
          </w:p>
        </w:tc>
        <w:tc>
          <w:tcPr>
            <w:tcW w:w="1183" w:type="dxa"/>
            <w:tcBorders>
              <w:tl2br w:val="nil"/>
              <w:tr2bl w:val="nil"/>
            </w:tcBorders>
            <w:vAlign w:val="center"/>
          </w:tcPr>
          <w:p w14:paraId="7AE481D3">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会计凭证</w:t>
            </w:r>
          </w:p>
        </w:tc>
        <w:tc>
          <w:tcPr>
            <w:tcW w:w="1936" w:type="dxa"/>
            <w:tcBorders>
              <w:tl2br w:val="nil"/>
              <w:tr2bl w:val="nil"/>
            </w:tcBorders>
            <w:vAlign w:val="center"/>
          </w:tcPr>
          <w:p w14:paraId="34021EF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1.能陈述会计凭证的概念，能</w:t>
            </w:r>
          </w:p>
          <w:p w14:paraId="26A9B6B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区分会计凭证的种类。</w:t>
            </w:r>
          </w:p>
          <w:p w14:paraId="67F7483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2.填制和审核记账凭证。★</w:t>
            </w:r>
          </w:p>
          <w:p w14:paraId="1DBD3B8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3.知晓会计凭证的传递程序</w:t>
            </w:r>
          </w:p>
          <w:p w14:paraId="767FBBC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和保管方法;能独立地装订会计凭证</w:t>
            </w:r>
          </w:p>
          <w:p w14:paraId="05B81FA5">
            <w:pPr>
              <w:spacing w:line="240" w:lineRule="auto"/>
              <w:ind w:firstLine="0" w:firstLineChars="0"/>
              <w:jc w:val="both"/>
              <w:rPr>
                <w:rFonts w:hint="default" w:ascii="仿宋_GB2312" w:hAnsi="仿宋_GB2312" w:cs="仿宋_GB2312"/>
                <w:sz w:val="24"/>
                <w:szCs w:val="24"/>
                <w:lang w:val="en-US" w:eastAsia="zh-CN"/>
              </w:rPr>
            </w:pPr>
          </w:p>
        </w:tc>
        <w:tc>
          <w:tcPr>
            <w:tcW w:w="1842" w:type="dxa"/>
            <w:tcBorders>
              <w:tl2br w:val="nil"/>
              <w:tr2bl w:val="nil"/>
            </w:tcBorders>
            <w:vAlign w:val="center"/>
          </w:tcPr>
          <w:p w14:paraId="771A945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能熟练地填制</w:t>
            </w:r>
          </w:p>
          <w:p w14:paraId="7A0400C2">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和审核记账凭</w:t>
            </w:r>
          </w:p>
          <w:p w14:paraId="1DD35C3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证。能够识别各</w:t>
            </w:r>
          </w:p>
          <w:p w14:paraId="0FD933D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种会计凭证，学</w:t>
            </w:r>
          </w:p>
          <w:p w14:paraId="1E948F1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会填制与审核各种会计凭证，</w:t>
            </w:r>
          </w:p>
          <w:p w14:paraId="07A7E14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并能够根据原</w:t>
            </w:r>
          </w:p>
          <w:p w14:paraId="3BED68C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始凭证作出简</w:t>
            </w:r>
          </w:p>
          <w:p w14:paraId="1D52A55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单业务的处理。</w:t>
            </w:r>
          </w:p>
          <w:p w14:paraId="25EA2CB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在讨论中澄清</w:t>
            </w:r>
          </w:p>
          <w:p w14:paraId="631BD4C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模糊认识，帮助学生对</w:t>
            </w:r>
          </w:p>
          <w:p w14:paraId="49A962A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难点部分加深理解和</w:t>
            </w:r>
          </w:p>
          <w:p w14:paraId="55E2F8F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记忆。</w:t>
            </w:r>
          </w:p>
        </w:tc>
        <w:tc>
          <w:tcPr>
            <w:tcW w:w="1843" w:type="dxa"/>
            <w:tcBorders>
              <w:tl2br w:val="nil"/>
              <w:tr2bl w:val="nil"/>
            </w:tcBorders>
            <w:vAlign w:val="center"/>
          </w:tcPr>
          <w:p w14:paraId="70FAB21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要教育学生，坚持原</w:t>
            </w:r>
          </w:p>
          <w:p w14:paraId="0C5C45B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则、不做假账，培养学</w:t>
            </w:r>
          </w:p>
          <w:p w14:paraId="069EE14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生诚信的品质。</w:t>
            </w:r>
          </w:p>
          <w:p w14:paraId="4D867D2D">
            <w:pPr>
              <w:spacing w:line="240" w:lineRule="auto"/>
              <w:ind w:firstLine="0" w:firstLineChars="0"/>
              <w:jc w:val="both"/>
              <w:rPr>
                <w:rFonts w:hint="eastAsia" w:ascii="仿宋_GB2312" w:hAnsi="仿宋_GB2312" w:cs="仿宋_GB2312"/>
                <w:sz w:val="24"/>
                <w:szCs w:val="24"/>
                <w:lang w:val="en-US" w:eastAsia="zh-CN"/>
              </w:rPr>
            </w:pPr>
          </w:p>
        </w:tc>
        <w:tc>
          <w:tcPr>
            <w:tcW w:w="567" w:type="dxa"/>
            <w:tcBorders>
              <w:tl2br w:val="nil"/>
              <w:tr2bl w:val="nil"/>
            </w:tcBorders>
            <w:vAlign w:val="center"/>
          </w:tcPr>
          <w:p w14:paraId="18359B11">
            <w:pPr>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p>
        </w:tc>
      </w:tr>
      <w:tr w14:paraId="462EC88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17B400F0">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5</w:t>
            </w:r>
          </w:p>
        </w:tc>
        <w:tc>
          <w:tcPr>
            <w:tcW w:w="1016" w:type="dxa"/>
            <w:tcBorders>
              <w:tl2br w:val="nil"/>
              <w:tr2bl w:val="nil"/>
            </w:tcBorders>
            <w:vAlign w:val="center"/>
          </w:tcPr>
          <w:p w14:paraId="56E280E0">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第五章</w:t>
            </w:r>
          </w:p>
        </w:tc>
        <w:tc>
          <w:tcPr>
            <w:tcW w:w="1183" w:type="dxa"/>
            <w:tcBorders>
              <w:tl2br w:val="nil"/>
              <w:tr2bl w:val="nil"/>
            </w:tcBorders>
            <w:vAlign w:val="center"/>
          </w:tcPr>
          <w:p w14:paraId="2697CAF6">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会计账簿</w:t>
            </w:r>
          </w:p>
        </w:tc>
        <w:tc>
          <w:tcPr>
            <w:tcW w:w="1936" w:type="dxa"/>
            <w:tcBorders>
              <w:tl2br w:val="nil"/>
              <w:tr2bl w:val="nil"/>
            </w:tcBorders>
            <w:vAlign w:val="center"/>
          </w:tcPr>
          <w:p w14:paraId="3AF4534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1.能陈述会计账簿的概念,区</w:t>
            </w:r>
          </w:p>
          <w:p w14:paraId="204BAAA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分会计账簿的种类:能独立地</w:t>
            </w:r>
          </w:p>
          <w:p w14:paraId="3419245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选择各种账簿;能辨别会计账</w:t>
            </w:r>
          </w:p>
          <w:p w14:paraId="2F4E6E2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簿与凭证之间的关系。</w:t>
            </w:r>
          </w:p>
          <w:p w14:paraId="110136D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2.能说出对账的基本内容和</w:t>
            </w:r>
          </w:p>
          <w:p w14:paraId="0EBF8B2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结账的方法;能按照账簿启用</w:t>
            </w:r>
          </w:p>
          <w:p w14:paraId="1993256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规则建立各种账簿体系;能进</w:t>
            </w:r>
          </w:p>
          <w:p w14:paraId="03BD512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行各种账簿的登记。★</w:t>
            </w:r>
          </w:p>
          <w:p w14:paraId="6ACD79C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3.按照错账更正方法的原理</w:t>
            </w:r>
          </w:p>
          <w:p w14:paraId="330C7CB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进行错账更正。</w:t>
            </w:r>
          </w:p>
        </w:tc>
        <w:tc>
          <w:tcPr>
            <w:tcW w:w="1842" w:type="dxa"/>
            <w:tcBorders>
              <w:tl2br w:val="nil"/>
              <w:tr2bl w:val="nil"/>
            </w:tcBorders>
            <w:vAlign w:val="center"/>
          </w:tcPr>
          <w:p w14:paraId="2C9E29E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1.会区分会计</w:t>
            </w:r>
          </w:p>
          <w:p w14:paraId="15D3105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账簿的种类。</w:t>
            </w:r>
          </w:p>
          <w:p w14:paraId="72E40B1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2.能够登记会</w:t>
            </w:r>
          </w:p>
          <w:p w14:paraId="469A5E8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计账簿。</w:t>
            </w:r>
          </w:p>
          <w:p w14:paraId="32CDEED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3.能够进行错</w:t>
            </w:r>
          </w:p>
          <w:p w14:paraId="3ABEDF9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账更正;学会对</w:t>
            </w:r>
          </w:p>
          <w:p w14:paraId="1513208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账与结账</w:t>
            </w:r>
          </w:p>
          <w:p w14:paraId="442383A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以讲授为主，辅之以提</w:t>
            </w:r>
          </w:p>
          <w:p w14:paraId="0AB01DC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问、讨论等方法进行教</w:t>
            </w:r>
          </w:p>
          <w:p w14:paraId="7CF6E23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学。</w:t>
            </w:r>
          </w:p>
        </w:tc>
        <w:tc>
          <w:tcPr>
            <w:tcW w:w="1843" w:type="dxa"/>
            <w:tcBorders>
              <w:tl2br w:val="nil"/>
              <w:tr2bl w:val="nil"/>
            </w:tcBorders>
            <w:vAlign w:val="center"/>
          </w:tcPr>
          <w:p w14:paraId="144FA15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要教育学生，坚持原</w:t>
            </w:r>
          </w:p>
          <w:p w14:paraId="410312D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则、不做假账，培养学</w:t>
            </w:r>
          </w:p>
          <w:p w14:paraId="1D5C612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生诚信的品质。</w:t>
            </w:r>
          </w:p>
        </w:tc>
        <w:tc>
          <w:tcPr>
            <w:tcW w:w="567" w:type="dxa"/>
            <w:tcBorders>
              <w:tl2br w:val="nil"/>
              <w:tr2bl w:val="nil"/>
            </w:tcBorders>
            <w:vAlign w:val="center"/>
          </w:tcPr>
          <w:p w14:paraId="200B1BD3">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3</w:t>
            </w:r>
          </w:p>
        </w:tc>
      </w:tr>
      <w:tr w14:paraId="4258D52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1B077469">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6</w:t>
            </w:r>
          </w:p>
        </w:tc>
        <w:tc>
          <w:tcPr>
            <w:tcW w:w="1016" w:type="dxa"/>
            <w:tcBorders>
              <w:tl2br w:val="nil"/>
              <w:tr2bl w:val="nil"/>
            </w:tcBorders>
            <w:vAlign w:val="center"/>
          </w:tcPr>
          <w:p w14:paraId="387682FC">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第六章</w:t>
            </w:r>
          </w:p>
        </w:tc>
        <w:tc>
          <w:tcPr>
            <w:tcW w:w="1183" w:type="dxa"/>
            <w:tcBorders>
              <w:tl2br w:val="nil"/>
              <w:tr2bl w:val="nil"/>
            </w:tcBorders>
            <w:vAlign w:val="center"/>
          </w:tcPr>
          <w:p w14:paraId="66C2DD95">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主要经济业务的核算</w:t>
            </w:r>
          </w:p>
        </w:tc>
        <w:tc>
          <w:tcPr>
            <w:tcW w:w="1936" w:type="dxa"/>
            <w:tcBorders>
              <w:tl2br w:val="nil"/>
              <w:tr2bl w:val="nil"/>
            </w:tcBorders>
            <w:vAlign w:val="center"/>
          </w:tcPr>
          <w:p w14:paraId="4D18FEC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1.能牢记工业企业主要经济</w:t>
            </w:r>
          </w:p>
          <w:p w14:paraId="7B03959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业务核算应设置的会计科目</w:t>
            </w:r>
          </w:p>
          <w:p w14:paraId="4CA1122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能正确编制企业主要经济业</w:t>
            </w:r>
          </w:p>
          <w:p w14:paraId="4705928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务基本会计分录。</w:t>
            </w:r>
          </w:p>
          <w:p w14:paraId="03A31F2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2.能界定利润总额的组成内</w:t>
            </w:r>
          </w:p>
          <w:p w14:paraId="4D0C98D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容;能正确计算利润总额。★</w:t>
            </w:r>
          </w:p>
          <w:p w14:paraId="0072046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3.能明确材料采购成本和产</w:t>
            </w:r>
          </w:p>
          <w:p w14:paraId="492B868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产品制造成本的基本构成，正</w:t>
            </w:r>
          </w:p>
          <w:p w14:paraId="18A3A15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确分配主要费用:熟悉产品制</w:t>
            </w:r>
          </w:p>
          <w:p w14:paraId="0ABD857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造成本的计算方法。</w:t>
            </w:r>
          </w:p>
          <w:p w14:paraId="631B167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4.运用 Excel 数据透视表分析成本数据，对接《财务管理》课程的成本决策模块</w:t>
            </w:r>
          </w:p>
        </w:tc>
        <w:tc>
          <w:tcPr>
            <w:tcW w:w="1842" w:type="dxa"/>
            <w:tcBorders>
              <w:tl2br w:val="nil"/>
              <w:tr2bl w:val="nil"/>
            </w:tcBorders>
            <w:vAlign w:val="center"/>
          </w:tcPr>
          <w:p w14:paraId="5FD1967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能够正确编</w:t>
            </w:r>
          </w:p>
          <w:p w14:paraId="2E44E21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制企业主要经</w:t>
            </w:r>
          </w:p>
          <w:p w14:paraId="3C39E12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济业务基本会</w:t>
            </w:r>
          </w:p>
          <w:p w14:paraId="6A57E43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计分录。</w:t>
            </w:r>
          </w:p>
          <w:p w14:paraId="654EBDC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采用在教师引导下的小组讨论形式，通过</w:t>
            </w:r>
          </w:p>
          <w:p w14:paraId="0C44020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小组讨论，使学生深入理解相关的理论知识和操作要领，并进行细微知识点和操作点的</w:t>
            </w:r>
          </w:p>
          <w:p w14:paraId="1DD4F15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辨析。</w:t>
            </w:r>
          </w:p>
        </w:tc>
        <w:tc>
          <w:tcPr>
            <w:tcW w:w="1843" w:type="dxa"/>
            <w:tcBorders>
              <w:tl2br w:val="nil"/>
              <w:tr2bl w:val="nil"/>
            </w:tcBorders>
            <w:vAlign w:val="center"/>
          </w:tcPr>
          <w:p w14:paraId="43B973B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培养学生规范操作意</w:t>
            </w:r>
          </w:p>
          <w:p w14:paraId="07DE939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识，培养学生参与管理，强化服务意识。结合数据差异分析案例，讨论算法偏见对决策的影响</w:t>
            </w:r>
          </w:p>
        </w:tc>
        <w:tc>
          <w:tcPr>
            <w:tcW w:w="567" w:type="dxa"/>
            <w:tcBorders>
              <w:tl2br w:val="nil"/>
              <w:tr2bl w:val="nil"/>
            </w:tcBorders>
            <w:vAlign w:val="center"/>
          </w:tcPr>
          <w:p w14:paraId="3EEB91B1">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10</w:t>
            </w:r>
          </w:p>
        </w:tc>
      </w:tr>
      <w:tr w14:paraId="1F3009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57B3BE6E">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7</w:t>
            </w:r>
          </w:p>
        </w:tc>
        <w:tc>
          <w:tcPr>
            <w:tcW w:w="1016" w:type="dxa"/>
            <w:tcBorders>
              <w:tl2br w:val="nil"/>
              <w:tr2bl w:val="nil"/>
            </w:tcBorders>
            <w:vAlign w:val="center"/>
          </w:tcPr>
          <w:p w14:paraId="6FF30B83">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第七章</w:t>
            </w:r>
          </w:p>
        </w:tc>
        <w:tc>
          <w:tcPr>
            <w:tcW w:w="1183" w:type="dxa"/>
            <w:tcBorders>
              <w:tl2br w:val="nil"/>
              <w:tr2bl w:val="nil"/>
            </w:tcBorders>
            <w:vAlign w:val="center"/>
          </w:tcPr>
          <w:p w14:paraId="4D76C363">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财产清查</w:t>
            </w:r>
          </w:p>
        </w:tc>
        <w:tc>
          <w:tcPr>
            <w:tcW w:w="1936" w:type="dxa"/>
            <w:tcBorders>
              <w:tl2br w:val="nil"/>
              <w:tr2bl w:val="nil"/>
            </w:tcBorders>
            <w:vAlign w:val="center"/>
          </w:tcPr>
          <w:p w14:paraId="18BE4D4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.能陈述财产清查的概念 能</w:t>
            </w:r>
          </w:p>
          <w:p w14:paraId="1B77442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解释财产物资的盘存制度:能</w:t>
            </w:r>
          </w:p>
          <w:p w14:paraId="056A690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区分财产清查的种类。</w:t>
            </w:r>
          </w:p>
          <w:p w14:paraId="1CE1499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2.能正确地选择现金、银行</w:t>
            </w:r>
          </w:p>
          <w:p w14:paraId="446CA36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存款及存货的清查方法:能</w:t>
            </w:r>
          </w:p>
          <w:p w14:paraId="407AD0A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熟练地对财产清查结果进行</w:t>
            </w:r>
          </w:p>
          <w:p w14:paraId="63C72FA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账务处理。★</w:t>
            </w:r>
          </w:p>
        </w:tc>
        <w:tc>
          <w:tcPr>
            <w:tcW w:w="1842" w:type="dxa"/>
            <w:tcBorders>
              <w:tl2br w:val="nil"/>
              <w:tr2bl w:val="nil"/>
            </w:tcBorders>
            <w:vAlign w:val="center"/>
          </w:tcPr>
          <w:p w14:paraId="38FDCDE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能够熟练地对</w:t>
            </w:r>
          </w:p>
          <w:p w14:paraId="0D5941C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财产清查结果</w:t>
            </w:r>
          </w:p>
          <w:p w14:paraId="544A37B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进行账务处理。</w:t>
            </w:r>
          </w:p>
          <w:p w14:paraId="0B296C8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以讲授为主，辅之以提</w:t>
            </w:r>
          </w:p>
          <w:p w14:paraId="23CCD64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问、讨论等方法进行教</w:t>
            </w:r>
          </w:p>
          <w:p w14:paraId="384555E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学</w:t>
            </w:r>
          </w:p>
        </w:tc>
        <w:tc>
          <w:tcPr>
            <w:tcW w:w="1843" w:type="dxa"/>
            <w:tcBorders>
              <w:tl2br w:val="nil"/>
              <w:tr2bl w:val="nil"/>
            </w:tcBorders>
            <w:vAlign w:val="center"/>
          </w:tcPr>
          <w:p w14:paraId="4F4B270A">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引导学生从理论走向</w:t>
            </w:r>
          </w:p>
          <w:p w14:paraId="21EF052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实践，帮助学生培养诚</w:t>
            </w:r>
          </w:p>
          <w:p w14:paraId="0C6FAB5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信、公平的价值观念</w:t>
            </w:r>
          </w:p>
        </w:tc>
        <w:tc>
          <w:tcPr>
            <w:tcW w:w="567" w:type="dxa"/>
            <w:tcBorders>
              <w:tl2br w:val="nil"/>
              <w:tr2bl w:val="nil"/>
            </w:tcBorders>
            <w:vAlign w:val="center"/>
          </w:tcPr>
          <w:p w14:paraId="7D389E2F">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1</w:t>
            </w:r>
          </w:p>
        </w:tc>
      </w:tr>
      <w:tr w14:paraId="1AA0589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32A32D49">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8</w:t>
            </w:r>
          </w:p>
        </w:tc>
        <w:tc>
          <w:tcPr>
            <w:tcW w:w="1016" w:type="dxa"/>
            <w:tcBorders>
              <w:tl2br w:val="nil"/>
              <w:tr2bl w:val="nil"/>
            </w:tcBorders>
            <w:vAlign w:val="center"/>
          </w:tcPr>
          <w:p w14:paraId="6554D738">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第八章</w:t>
            </w:r>
          </w:p>
        </w:tc>
        <w:tc>
          <w:tcPr>
            <w:tcW w:w="1183" w:type="dxa"/>
            <w:tcBorders>
              <w:tl2br w:val="nil"/>
              <w:tr2bl w:val="nil"/>
            </w:tcBorders>
            <w:vAlign w:val="center"/>
          </w:tcPr>
          <w:p w14:paraId="48777A67">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会计核算程序</w:t>
            </w:r>
          </w:p>
        </w:tc>
        <w:tc>
          <w:tcPr>
            <w:tcW w:w="1936" w:type="dxa"/>
            <w:tcBorders>
              <w:tl2br w:val="nil"/>
              <w:tr2bl w:val="nil"/>
            </w:tcBorders>
            <w:vAlign w:val="center"/>
          </w:tcPr>
          <w:p w14:paraId="68226C5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1.能说出会计核算程序的概</w:t>
            </w:r>
          </w:p>
          <w:p w14:paraId="59A82ED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念;能列举会计核算程序的种</w:t>
            </w:r>
          </w:p>
          <w:p w14:paraId="073C83C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类、特点、优缺点及适用范围</w:t>
            </w:r>
          </w:p>
          <w:p w14:paraId="38502E4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能根据记账凭证核算程序，进行相应的账务处理。★</w:t>
            </w:r>
          </w:p>
          <w:p w14:paraId="07E33CB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2.能根据科目汇总表核算程</w:t>
            </w:r>
          </w:p>
          <w:p w14:paraId="3E7D0FD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序，进行相应的账务处理。</w:t>
            </w:r>
          </w:p>
        </w:tc>
        <w:tc>
          <w:tcPr>
            <w:tcW w:w="1842" w:type="dxa"/>
            <w:tcBorders>
              <w:tl2br w:val="nil"/>
              <w:tr2bl w:val="nil"/>
            </w:tcBorders>
            <w:vAlign w:val="center"/>
          </w:tcPr>
          <w:p w14:paraId="6164B5F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能根据记账凭</w:t>
            </w:r>
          </w:p>
          <w:p w14:paraId="3808D84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证核算程序，进</w:t>
            </w:r>
          </w:p>
          <w:p w14:paraId="6A63EC7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行相应的账务</w:t>
            </w:r>
          </w:p>
          <w:p w14:paraId="5E5DF64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处理。</w:t>
            </w:r>
          </w:p>
          <w:p w14:paraId="498B2C1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通过</w:t>
            </w:r>
          </w:p>
          <w:p w14:paraId="22082EB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小组讨论，使学生深入理解相关的理论知识和操作要领。</w:t>
            </w:r>
          </w:p>
        </w:tc>
        <w:tc>
          <w:tcPr>
            <w:tcW w:w="1843" w:type="dxa"/>
            <w:tcBorders>
              <w:tl2br w:val="nil"/>
              <w:tr2bl w:val="nil"/>
            </w:tcBorders>
            <w:vAlign w:val="center"/>
          </w:tcPr>
          <w:p w14:paraId="6BE7B35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多参加讲座和培训，学习习近平新时代中国特色社会主义思想，跟党走</w:t>
            </w:r>
          </w:p>
        </w:tc>
        <w:tc>
          <w:tcPr>
            <w:tcW w:w="567" w:type="dxa"/>
            <w:tcBorders>
              <w:tl2br w:val="nil"/>
              <w:tr2bl w:val="nil"/>
            </w:tcBorders>
            <w:vAlign w:val="center"/>
          </w:tcPr>
          <w:p w14:paraId="2B149E1A">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4</w:t>
            </w:r>
          </w:p>
        </w:tc>
      </w:tr>
      <w:tr w14:paraId="09A210D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5710E22A">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9</w:t>
            </w:r>
          </w:p>
        </w:tc>
        <w:tc>
          <w:tcPr>
            <w:tcW w:w="1016" w:type="dxa"/>
            <w:tcBorders>
              <w:tl2br w:val="nil"/>
              <w:tr2bl w:val="nil"/>
            </w:tcBorders>
            <w:vAlign w:val="center"/>
          </w:tcPr>
          <w:p w14:paraId="3F043842">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第九章</w:t>
            </w:r>
          </w:p>
        </w:tc>
        <w:tc>
          <w:tcPr>
            <w:tcW w:w="1183" w:type="dxa"/>
            <w:tcBorders>
              <w:tl2br w:val="nil"/>
              <w:tr2bl w:val="nil"/>
            </w:tcBorders>
            <w:vAlign w:val="center"/>
          </w:tcPr>
          <w:p w14:paraId="223F90FF">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财务报表</w:t>
            </w:r>
          </w:p>
        </w:tc>
        <w:tc>
          <w:tcPr>
            <w:tcW w:w="1936" w:type="dxa"/>
            <w:tcBorders>
              <w:tl2br w:val="nil"/>
              <w:tr2bl w:val="nil"/>
            </w:tcBorders>
            <w:vAlign w:val="center"/>
          </w:tcPr>
          <w:p w14:paraId="6DCE4F1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1.能陈述财务报表的概念;能</w:t>
            </w:r>
          </w:p>
          <w:p w14:paraId="0A83D07F">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分清财务报表的种类。</w:t>
            </w:r>
          </w:p>
          <w:p w14:paraId="5B3C1D5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2.能陈述资产负债表和利润</w:t>
            </w:r>
          </w:p>
          <w:p w14:paraId="0D6CDC7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表的概念;能识别资产负债</w:t>
            </w:r>
          </w:p>
          <w:p w14:paraId="2636C023">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表和利润表的基本结构。★</w:t>
            </w:r>
          </w:p>
          <w:p w14:paraId="2449893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3.能知晓财务报表的编制要</w:t>
            </w:r>
          </w:p>
          <w:p w14:paraId="73AD600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求;能独立地编制简要的资</w:t>
            </w:r>
          </w:p>
          <w:p w14:paraId="7BEB1BE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产负债表;能独立地编制简要</w:t>
            </w:r>
          </w:p>
          <w:p w14:paraId="5AE8A39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的利润表。</w:t>
            </w:r>
          </w:p>
        </w:tc>
        <w:tc>
          <w:tcPr>
            <w:tcW w:w="1842" w:type="dxa"/>
            <w:tcBorders>
              <w:tl2br w:val="nil"/>
              <w:tr2bl w:val="nil"/>
            </w:tcBorders>
            <w:vAlign w:val="center"/>
          </w:tcPr>
          <w:p w14:paraId="4CF7BB46">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能独立地编制</w:t>
            </w:r>
          </w:p>
          <w:p w14:paraId="3DC9896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简要的利润表。</w:t>
            </w:r>
          </w:p>
          <w:p w14:paraId="7AE995CC">
            <w:pPr>
              <w:spacing w:line="240" w:lineRule="auto"/>
              <w:ind w:firstLine="0" w:firstLineChars="0"/>
              <w:jc w:val="both"/>
              <w:rPr>
                <w:rFonts w:hint="eastAsia" w:ascii="仿宋_GB2312" w:hAnsi="仿宋_GB2312" w:cs="仿宋_GB2312"/>
                <w:sz w:val="24"/>
                <w:szCs w:val="24"/>
                <w:lang w:val="en-US" w:eastAsia="zh-CN"/>
              </w:rPr>
            </w:pPr>
          </w:p>
          <w:p w14:paraId="743E66B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通过典型案例及热点问题的讨论，在讨论中澄清模糊认识。帮助学生对难点部分加深理解和记忆</w:t>
            </w:r>
          </w:p>
        </w:tc>
        <w:tc>
          <w:tcPr>
            <w:tcW w:w="1843" w:type="dxa"/>
            <w:tcBorders>
              <w:tl2br w:val="nil"/>
              <w:tr2bl w:val="nil"/>
            </w:tcBorders>
            <w:vAlign w:val="center"/>
          </w:tcPr>
          <w:p w14:paraId="6BD4A28D">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培养学生规范操作意识。</w:t>
            </w:r>
          </w:p>
        </w:tc>
        <w:tc>
          <w:tcPr>
            <w:tcW w:w="567" w:type="dxa"/>
            <w:tcBorders>
              <w:tl2br w:val="nil"/>
              <w:tr2bl w:val="nil"/>
            </w:tcBorders>
            <w:vAlign w:val="center"/>
          </w:tcPr>
          <w:p w14:paraId="777F9B2B">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3</w:t>
            </w:r>
          </w:p>
        </w:tc>
      </w:tr>
      <w:tr w14:paraId="1B9F49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4369DD49">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10</w:t>
            </w:r>
          </w:p>
        </w:tc>
        <w:tc>
          <w:tcPr>
            <w:tcW w:w="1016" w:type="dxa"/>
            <w:tcBorders>
              <w:tl2br w:val="nil"/>
              <w:tr2bl w:val="nil"/>
            </w:tcBorders>
            <w:vAlign w:val="center"/>
          </w:tcPr>
          <w:p w14:paraId="04572C8E">
            <w:pPr>
              <w:spacing w:line="240" w:lineRule="auto"/>
              <w:ind w:firstLine="0" w:firstLineChars="0"/>
              <w:rPr>
                <w:rFonts w:hint="eastAsia" w:ascii="仿宋_GB2312" w:hAnsi="仿宋_GB2312" w:cs="仿宋_GB2312"/>
                <w:sz w:val="24"/>
                <w:szCs w:val="24"/>
                <w:lang w:val="en-US" w:eastAsia="zh-CN"/>
              </w:rPr>
            </w:pPr>
            <w:r>
              <w:rPr>
                <w:rFonts w:hint="default" w:ascii="仿宋_GB2312" w:hAnsi="仿宋_GB2312" w:cs="仿宋_GB2312"/>
                <w:sz w:val="24"/>
                <w:szCs w:val="24"/>
                <w:lang w:val="en-US" w:eastAsia="zh-CN"/>
              </w:rPr>
              <w:t xml:space="preserve">第十章 </w:t>
            </w:r>
          </w:p>
        </w:tc>
        <w:tc>
          <w:tcPr>
            <w:tcW w:w="1183" w:type="dxa"/>
            <w:tcBorders>
              <w:tl2br w:val="nil"/>
              <w:tr2bl w:val="nil"/>
            </w:tcBorders>
            <w:vAlign w:val="center"/>
          </w:tcPr>
          <w:p w14:paraId="3889EEB5">
            <w:pPr>
              <w:spacing w:line="240" w:lineRule="auto"/>
              <w:ind w:firstLine="0" w:firstLineChars="0"/>
              <w:rPr>
                <w:rFonts w:hint="default" w:ascii="仿宋_GB2312" w:hAnsi="仿宋_GB2312" w:cs="仿宋_GB2312"/>
                <w:sz w:val="24"/>
                <w:szCs w:val="24"/>
                <w:lang w:val="en-US" w:eastAsia="zh-CN"/>
              </w:rPr>
            </w:pPr>
            <w:r>
              <w:rPr>
                <w:rFonts w:hint="default" w:ascii="仿宋_GB2312" w:hAnsi="仿宋_GB2312" w:cs="仿宋_GB2312"/>
                <w:sz w:val="24"/>
                <w:szCs w:val="24"/>
                <w:lang w:val="en-US" w:eastAsia="zh-CN"/>
              </w:rPr>
              <w:t>数据化财务场景实践</w:t>
            </w:r>
          </w:p>
        </w:tc>
        <w:tc>
          <w:tcPr>
            <w:tcW w:w="1936" w:type="dxa"/>
            <w:tcBorders>
              <w:tl2br w:val="nil"/>
              <w:tr2bl w:val="nil"/>
            </w:tcBorders>
            <w:vAlign w:val="center"/>
          </w:tcPr>
          <w:p w14:paraId="5CF93C59">
            <w:pPr>
              <w:spacing w:line="240" w:lineRule="auto"/>
              <w:ind w:firstLine="0" w:firstLineChars="0"/>
              <w:rPr>
                <w:rFonts w:hint="eastAsia" w:ascii="仿宋_GB2312" w:hAnsi="仿宋_GB2312" w:cs="仿宋_GB2312"/>
                <w:sz w:val="24"/>
                <w:szCs w:val="24"/>
                <w:lang w:val="en-US" w:eastAsia="zh-CN"/>
              </w:rPr>
            </w:pPr>
            <w:r>
              <w:rPr>
                <w:rFonts w:hint="default" w:ascii="仿宋_GB2312" w:hAnsi="仿宋_GB2312" w:cs="仿宋_GB2312"/>
                <w:sz w:val="24"/>
                <w:szCs w:val="24"/>
                <w:lang w:val="en-US" w:eastAsia="zh-CN"/>
              </w:rPr>
              <w:t>1. 设计小型企业业财数据对接流程；2. 使用用友 BIP 数据中台完成基础数据建模</w:t>
            </w:r>
          </w:p>
        </w:tc>
        <w:tc>
          <w:tcPr>
            <w:tcW w:w="1842" w:type="dxa"/>
            <w:tcBorders>
              <w:tl2br w:val="nil"/>
              <w:tr2bl w:val="nil"/>
            </w:tcBorders>
            <w:vAlign w:val="center"/>
          </w:tcPr>
          <w:p w14:paraId="16DCFD78">
            <w:pPr>
              <w:spacing w:line="240" w:lineRule="auto"/>
              <w:ind w:firstLine="0" w:firstLineChars="0"/>
              <w:rPr>
                <w:rFonts w:hint="eastAsia" w:ascii="仿宋_GB2312" w:hAnsi="仿宋_GB2312" w:cs="仿宋_GB2312"/>
                <w:sz w:val="24"/>
                <w:szCs w:val="24"/>
                <w:lang w:val="en-US" w:eastAsia="zh-CN"/>
              </w:rPr>
            </w:pPr>
            <w:r>
              <w:rPr>
                <w:rFonts w:hint="default" w:ascii="仿宋_GB2312" w:hAnsi="仿宋_GB2312" w:cs="仿宋_GB2312"/>
                <w:sz w:val="24"/>
                <w:szCs w:val="24"/>
                <w:lang w:val="en-US" w:eastAsia="zh-CN"/>
              </w:rPr>
              <w:t>通过企业数据泄露案例，强化数据安全责任意识</w:t>
            </w:r>
          </w:p>
        </w:tc>
        <w:tc>
          <w:tcPr>
            <w:tcW w:w="1843" w:type="dxa"/>
            <w:tcBorders>
              <w:tl2br w:val="nil"/>
              <w:tr2bl w:val="nil"/>
            </w:tcBorders>
            <w:vAlign w:val="center"/>
          </w:tcPr>
          <w:p w14:paraId="56104D5E">
            <w:pPr>
              <w:spacing w:line="240" w:lineRule="auto"/>
              <w:ind w:firstLine="0" w:firstLineChars="0"/>
              <w:rPr>
                <w:rFonts w:hint="eastAsia" w:ascii="仿宋_GB2312" w:hAnsi="仿宋_GB2312" w:cs="仿宋_GB2312"/>
                <w:sz w:val="24"/>
                <w:szCs w:val="24"/>
                <w:lang w:val="en-US" w:eastAsia="zh-CN"/>
              </w:rPr>
            </w:pPr>
            <w:r>
              <w:rPr>
                <w:rFonts w:hint="default" w:ascii="仿宋_GB2312" w:hAnsi="仿宋_GB2312" w:cs="仿宋_GB2312"/>
                <w:sz w:val="24"/>
                <w:szCs w:val="24"/>
                <w:lang w:val="en-US" w:eastAsia="zh-CN"/>
              </w:rPr>
              <w:t>1. 设计小型企业业财数据对接流程；2. 使用用友 BIP 数据中台完成基础数据建模</w:t>
            </w:r>
          </w:p>
        </w:tc>
        <w:tc>
          <w:tcPr>
            <w:tcW w:w="567" w:type="dxa"/>
            <w:tcBorders>
              <w:tl2br w:val="nil"/>
              <w:tr2bl w:val="nil"/>
            </w:tcBorders>
            <w:vAlign w:val="center"/>
          </w:tcPr>
          <w:p w14:paraId="57CFDEB1">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3</w:t>
            </w:r>
          </w:p>
        </w:tc>
      </w:tr>
      <w:tr w14:paraId="43C463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1" w:type="dxa"/>
            <w:tcBorders>
              <w:tl2br w:val="nil"/>
              <w:tr2bl w:val="nil"/>
            </w:tcBorders>
            <w:vAlign w:val="center"/>
          </w:tcPr>
          <w:p w14:paraId="1FB57287">
            <w:pPr>
              <w:spacing w:line="240" w:lineRule="auto"/>
              <w:ind w:firstLine="0" w:firstLineChars="0"/>
              <w:jc w:val="center"/>
              <w:rPr>
                <w:rFonts w:ascii="仿宋_GB2312" w:hAnsi="仿宋_GB2312" w:cs="仿宋_GB2312"/>
                <w:sz w:val="24"/>
                <w:szCs w:val="24"/>
              </w:rPr>
            </w:pPr>
          </w:p>
        </w:tc>
        <w:tc>
          <w:tcPr>
            <w:tcW w:w="1016" w:type="dxa"/>
            <w:tcBorders>
              <w:tl2br w:val="nil"/>
              <w:tr2bl w:val="nil"/>
            </w:tcBorders>
            <w:vAlign w:val="center"/>
          </w:tcPr>
          <w:p w14:paraId="2A37407F">
            <w:pPr>
              <w:spacing w:line="240" w:lineRule="auto"/>
              <w:ind w:firstLine="0" w:firstLineChars="0"/>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总计</w:t>
            </w:r>
          </w:p>
        </w:tc>
        <w:tc>
          <w:tcPr>
            <w:tcW w:w="6804" w:type="dxa"/>
            <w:gridSpan w:val="4"/>
            <w:tcBorders>
              <w:tl2br w:val="nil"/>
              <w:tr2bl w:val="nil"/>
            </w:tcBorders>
            <w:vAlign w:val="center"/>
          </w:tcPr>
          <w:p w14:paraId="23C25534">
            <w:pPr>
              <w:spacing w:line="240" w:lineRule="auto"/>
              <w:ind w:firstLine="0" w:firstLineChars="0"/>
              <w:jc w:val="center"/>
              <w:rPr>
                <w:rFonts w:ascii="仿宋_GB2312" w:hAnsi="仿宋_GB2312" w:cs="仿宋_GB2312"/>
                <w:sz w:val="24"/>
                <w:szCs w:val="24"/>
              </w:rPr>
            </w:pPr>
          </w:p>
        </w:tc>
        <w:tc>
          <w:tcPr>
            <w:tcW w:w="567" w:type="dxa"/>
            <w:tcBorders>
              <w:tl2br w:val="nil"/>
              <w:tr2bl w:val="nil"/>
            </w:tcBorders>
            <w:vAlign w:val="center"/>
          </w:tcPr>
          <w:p w14:paraId="5AF57E3D">
            <w:pPr>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32</w:t>
            </w:r>
          </w:p>
        </w:tc>
      </w:tr>
    </w:tbl>
    <w:p w14:paraId="4EF522C9">
      <w:pPr>
        <w:ind w:firstLine="480"/>
        <w:jc w:val="left"/>
        <w:rPr>
          <w:rFonts w:ascii="仿宋_GB2312" w:hAnsi="仿宋_GB2312" w:cs="仿宋_GB2312"/>
          <w:b/>
          <w:bCs/>
          <w:sz w:val="24"/>
          <w:szCs w:val="21"/>
        </w:rPr>
      </w:pPr>
    </w:p>
    <w:p w14:paraId="0A6BD2BF">
      <w:pPr>
        <w:pStyle w:val="2"/>
        <w:ind w:firstLine="653"/>
      </w:pPr>
      <w:bookmarkStart w:id="31" w:name="_Toc502337267"/>
      <w:bookmarkStart w:id="32" w:name="_Toc18126"/>
      <w:bookmarkStart w:id="33" w:name="_Toc20287"/>
      <w:r>
        <w:rPr>
          <w:rFonts w:hint="eastAsia"/>
        </w:rPr>
        <w:t>七、学习评价</w:t>
      </w:r>
      <w:bookmarkEnd w:id="31"/>
      <w:bookmarkEnd w:id="32"/>
      <w:bookmarkEnd w:id="33"/>
    </w:p>
    <w:p w14:paraId="6580A2EE">
      <w:pPr>
        <w:spacing w:line="360" w:lineRule="auto"/>
        <w:ind w:firstLine="560"/>
      </w:pPr>
      <w:r>
        <w:rPr>
          <w:rFonts w:hint="eastAsia"/>
          <w:b/>
          <w:bCs/>
        </w:rPr>
        <w:t>本课程达标要求：</w:t>
      </w:r>
      <w:r>
        <w:rPr>
          <w:rFonts w:hint="eastAsia"/>
          <w:color w:val="FF0000"/>
        </w:rPr>
        <w:t>（分模块设计）</w:t>
      </w:r>
    </w:p>
    <w:p w14:paraId="12F7717C">
      <w:pPr>
        <w:ind w:firstLine="480"/>
        <w:jc w:val="center"/>
        <w:rPr>
          <w:rFonts w:ascii="仿宋_GB2312" w:hAnsi="仿宋_GB2312" w:cs="仿宋_GB2312"/>
          <w:b/>
          <w:bCs/>
          <w:sz w:val="24"/>
          <w:szCs w:val="21"/>
        </w:rPr>
      </w:pPr>
      <w:r>
        <w:rPr>
          <w:rFonts w:hint="eastAsia" w:ascii="仿宋_GB2312" w:hAnsi="仿宋_GB2312" w:cs="仿宋_GB2312"/>
          <w:b/>
          <w:bCs/>
          <w:sz w:val="24"/>
          <w:szCs w:val="21"/>
        </w:rPr>
        <w:t>表4</w:t>
      </w:r>
      <w:r>
        <w:rPr>
          <w:rFonts w:ascii="仿宋_GB2312" w:hAnsi="仿宋_GB2312" w:cs="仿宋_GB2312"/>
          <w:b/>
          <w:bCs/>
          <w:sz w:val="24"/>
          <w:szCs w:val="21"/>
        </w:rPr>
        <w:t xml:space="preserve">. </w:t>
      </w:r>
      <w:r>
        <w:rPr>
          <w:rFonts w:hint="eastAsia" w:ascii="仿宋_GB2312" w:hAnsi="仿宋_GB2312" w:cs="仿宋_GB2312"/>
          <w:b/>
          <w:bCs/>
          <w:sz w:val="24"/>
          <w:szCs w:val="21"/>
        </w:rPr>
        <w:t>学习评价表</w:t>
      </w:r>
    </w:p>
    <w:tbl>
      <w:tblPr>
        <w:tblStyle w:val="14"/>
        <w:tblW w:w="9658" w:type="dxa"/>
        <w:tblInd w:w="-19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2"/>
        <w:gridCol w:w="1197"/>
        <w:gridCol w:w="1356"/>
        <w:gridCol w:w="1008"/>
        <w:gridCol w:w="1008"/>
        <w:gridCol w:w="1008"/>
        <w:gridCol w:w="2505"/>
        <w:gridCol w:w="1134"/>
      </w:tblGrid>
      <w:tr w14:paraId="4071AC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442" w:type="dxa"/>
            <w:tcBorders>
              <w:tl2br w:val="nil"/>
              <w:tr2bl w:val="nil"/>
            </w:tcBorders>
            <w:vAlign w:val="center"/>
          </w:tcPr>
          <w:p w14:paraId="39C9608A">
            <w:pPr>
              <w:spacing w:line="240" w:lineRule="auto"/>
              <w:ind w:firstLine="0" w:firstLineChars="0"/>
              <w:jc w:val="center"/>
              <w:rPr>
                <w:rFonts w:ascii="仿宋_GB2312"/>
                <w:b/>
                <w:bCs/>
                <w:sz w:val="24"/>
                <w:szCs w:val="24"/>
              </w:rPr>
            </w:pPr>
            <w:r>
              <w:rPr>
                <w:rFonts w:hint="eastAsia" w:ascii="仿宋_GB2312"/>
                <w:b/>
                <w:bCs/>
                <w:sz w:val="24"/>
                <w:szCs w:val="24"/>
              </w:rPr>
              <w:t>评价环节</w:t>
            </w:r>
          </w:p>
        </w:tc>
        <w:tc>
          <w:tcPr>
            <w:tcW w:w="1197" w:type="dxa"/>
            <w:tcBorders>
              <w:tl2br w:val="nil"/>
              <w:tr2bl w:val="nil"/>
            </w:tcBorders>
            <w:vAlign w:val="center"/>
          </w:tcPr>
          <w:p w14:paraId="7D895456">
            <w:pPr>
              <w:spacing w:line="240" w:lineRule="auto"/>
              <w:ind w:firstLine="0" w:firstLineChars="0"/>
              <w:jc w:val="center"/>
              <w:rPr>
                <w:rFonts w:ascii="仿宋_GB2312"/>
                <w:b/>
                <w:bCs/>
                <w:sz w:val="24"/>
                <w:szCs w:val="24"/>
              </w:rPr>
            </w:pPr>
            <w:r>
              <w:rPr>
                <w:rFonts w:hint="eastAsia" w:ascii="仿宋_GB2312"/>
                <w:b/>
                <w:bCs/>
                <w:sz w:val="24"/>
                <w:szCs w:val="24"/>
              </w:rPr>
              <w:t>课程内容</w:t>
            </w:r>
          </w:p>
          <w:p w14:paraId="18756F04">
            <w:pPr>
              <w:spacing w:line="240" w:lineRule="auto"/>
              <w:ind w:firstLine="0" w:firstLineChars="0"/>
              <w:jc w:val="center"/>
              <w:rPr>
                <w:rFonts w:ascii="仿宋_GB2312"/>
                <w:b/>
                <w:bCs/>
                <w:sz w:val="24"/>
                <w:szCs w:val="24"/>
              </w:rPr>
            </w:pPr>
            <w:r>
              <w:rPr>
                <w:rFonts w:hint="eastAsia" w:ascii="仿宋_GB2312"/>
                <w:b/>
                <w:bCs/>
                <w:sz w:val="24"/>
                <w:szCs w:val="24"/>
              </w:rPr>
              <w:t>（模块/项目）</w:t>
            </w:r>
          </w:p>
        </w:tc>
        <w:tc>
          <w:tcPr>
            <w:tcW w:w="1356" w:type="dxa"/>
            <w:tcBorders>
              <w:tl2br w:val="nil"/>
              <w:tr2bl w:val="nil"/>
            </w:tcBorders>
            <w:vAlign w:val="center"/>
          </w:tcPr>
          <w:p w14:paraId="6C30A506">
            <w:pPr>
              <w:spacing w:line="240" w:lineRule="auto"/>
              <w:ind w:firstLine="0" w:firstLineChars="0"/>
              <w:jc w:val="center"/>
              <w:rPr>
                <w:rFonts w:ascii="仿宋_GB2312"/>
                <w:b/>
                <w:bCs/>
                <w:sz w:val="24"/>
                <w:szCs w:val="24"/>
              </w:rPr>
            </w:pPr>
            <w:r>
              <w:rPr>
                <w:rFonts w:hint="eastAsia" w:ascii="仿宋_GB2312"/>
                <w:b/>
                <w:bCs/>
                <w:sz w:val="24"/>
                <w:szCs w:val="24"/>
              </w:rPr>
              <w:t>学习任务</w:t>
            </w:r>
          </w:p>
        </w:tc>
        <w:tc>
          <w:tcPr>
            <w:tcW w:w="3024" w:type="dxa"/>
            <w:gridSpan w:val="3"/>
            <w:tcBorders>
              <w:tl2br w:val="nil"/>
              <w:tr2bl w:val="nil"/>
            </w:tcBorders>
            <w:vAlign w:val="center"/>
          </w:tcPr>
          <w:p w14:paraId="2137B657">
            <w:pPr>
              <w:spacing w:line="240" w:lineRule="auto"/>
              <w:ind w:firstLine="0" w:firstLineChars="0"/>
              <w:jc w:val="center"/>
              <w:rPr>
                <w:rFonts w:ascii="仿宋_GB2312"/>
                <w:b/>
                <w:bCs/>
                <w:sz w:val="24"/>
                <w:szCs w:val="24"/>
              </w:rPr>
            </w:pPr>
            <w:r>
              <w:rPr>
                <w:rFonts w:hint="eastAsia" w:ascii="仿宋_GB2312"/>
                <w:b/>
                <w:bCs/>
                <w:sz w:val="24"/>
                <w:szCs w:val="24"/>
              </w:rPr>
              <w:t>评价标准</w:t>
            </w:r>
          </w:p>
          <w:p w14:paraId="715AF54E">
            <w:pPr>
              <w:spacing w:line="240" w:lineRule="auto"/>
              <w:ind w:firstLine="0" w:firstLineChars="0"/>
              <w:jc w:val="center"/>
              <w:rPr>
                <w:rFonts w:ascii="仿宋_GB2312"/>
                <w:b/>
                <w:bCs/>
                <w:sz w:val="24"/>
                <w:szCs w:val="24"/>
              </w:rPr>
            </w:pPr>
            <w:r>
              <w:rPr>
                <w:rFonts w:hint="eastAsia" w:ascii="仿宋_GB2312"/>
                <w:b/>
                <w:bCs/>
                <w:sz w:val="24"/>
                <w:szCs w:val="24"/>
              </w:rPr>
              <w:t>（学习产出合格要求）</w:t>
            </w:r>
          </w:p>
        </w:tc>
        <w:tc>
          <w:tcPr>
            <w:tcW w:w="2505" w:type="dxa"/>
            <w:tcBorders>
              <w:tl2br w:val="nil"/>
              <w:tr2bl w:val="nil"/>
            </w:tcBorders>
            <w:vAlign w:val="center"/>
          </w:tcPr>
          <w:p w14:paraId="49819909">
            <w:pPr>
              <w:spacing w:line="240" w:lineRule="auto"/>
              <w:ind w:firstLine="0" w:firstLineChars="0"/>
              <w:jc w:val="center"/>
              <w:rPr>
                <w:rFonts w:ascii="仿宋_GB2312"/>
                <w:b/>
                <w:bCs/>
                <w:sz w:val="24"/>
                <w:szCs w:val="24"/>
              </w:rPr>
            </w:pPr>
            <w:r>
              <w:rPr>
                <w:rFonts w:hint="eastAsia" w:ascii="仿宋_GB2312"/>
                <w:b/>
                <w:bCs/>
                <w:sz w:val="24"/>
                <w:szCs w:val="24"/>
              </w:rPr>
              <w:t>评价方法</w:t>
            </w:r>
          </w:p>
          <w:p w14:paraId="0BD8D719">
            <w:pPr>
              <w:spacing w:line="240" w:lineRule="auto"/>
              <w:ind w:firstLine="0" w:firstLineChars="0"/>
              <w:jc w:val="center"/>
              <w:rPr>
                <w:rFonts w:ascii="仿宋_GB2312"/>
                <w:b/>
                <w:bCs/>
                <w:sz w:val="24"/>
                <w:szCs w:val="24"/>
              </w:rPr>
            </w:pPr>
            <w:r>
              <w:rPr>
                <w:rFonts w:hint="eastAsia" w:ascii="仿宋_GB2312"/>
                <w:b/>
                <w:bCs/>
                <w:sz w:val="24"/>
                <w:szCs w:val="24"/>
              </w:rPr>
              <w:t>（方法、工具、场所）</w:t>
            </w:r>
          </w:p>
        </w:tc>
        <w:tc>
          <w:tcPr>
            <w:tcW w:w="1134" w:type="dxa"/>
            <w:tcBorders>
              <w:tl2br w:val="nil"/>
              <w:tr2bl w:val="nil"/>
            </w:tcBorders>
            <w:vAlign w:val="center"/>
          </w:tcPr>
          <w:p w14:paraId="18C091FB">
            <w:pPr>
              <w:spacing w:line="240" w:lineRule="auto"/>
              <w:ind w:firstLine="0" w:firstLineChars="0"/>
              <w:jc w:val="center"/>
              <w:rPr>
                <w:rFonts w:ascii="仿宋_GB2312"/>
                <w:b/>
                <w:bCs/>
                <w:sz w:val="24"/>
                <w:szCs w:val="24"/>
              </w:rPr>
            </w:pPr>
            <w:r>
              <w:rPr>
                <w:rFonts w:hint="eastAsia" w:ascii="仿宋_GB2312"/>
                <w:b/>
                <w:bCs/>
                <w:sz w:val="24"/>
                <w:szCs w:val="24"/>
              </w:rPr>
              <w:t>占比</w:t>
            </w:r>
          </w:p>
          <w:p w14:paraId="2EAD10FE">
            <w:pPr>
              <w:spacing w:line="240" w:lineRule="auto"/>
              <w:ind w:firstLine="0" w:firstLineChars="0"/>
              <w:jc w:val="center"/>
              <w:rPr>
                <w:rFonts w:ascii="仿宋_GB2312"/>
                <w:b/>
                <w:bCs/>
                <w:sz w:val="24"/>
                <w:szCs w:val="24"/>
              </w:rPr>
            </w:pPr>
            <w:r>
              <w:rPr>
                <w:rFonts w:hint="eastAsia" w:ascii="仿宋_GB2312"/>
                <w:b/>
                <w:bCs/>
                <w:sz w:val="24"/>
                <w:szCs w:val="24"/>
              </w:rPr>
              <w:t>（%）</w:t>
            </w:r>
          </w:p>
        </w:tc>
      </w:tr>
      <w:tr w14:paraId="243BAC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42" w:type="dxa"/>
            <w:vMerge w:val="restart"/>
            <w:tcBorders>
              <w:tl2br w:val="nil"/>
              <w:tr2bl w:val="nil"/>
            </w:tcBorders>
          </w:tcPr>
          <w:p w14:paraId="417C7623">
            <w:pPr>
              <w:spacing w:line="240" w:lineRule="auto"/>
              <w:ind w:firstLine="0" w:firstLineChars="0"/>
              <w:rPr>
                <w:rFonts w:ascii="仿宋_GB2312" w:hAnsi="仿宋_GB2312" w:cs="仿宋_GB2312"/>
                <w:sz w:val="24"/>
                <w:szCs w:val="24"/>
              </w:rPr>
            </w:pPr>
          </w:p>
        </w:tc>
        <w:tc>
          <w:tcPr>
            <w:tcW w:w="1197" w:type="dxa"/>
            <w:vMerge w:val="restart"/>
            <w:tcBorders>
              <w:tl2br w:val="nil"/>
              <w:tr2bl w:val="nil"/>
            </w:tcBorders>
            <w:vAlign w:val="center"/>
          </w:tcPr>
          <w:p w14:paraId="5ECCEADD">
            <w:pPr>
              <w:spacing w:line="240" w:lineRule="auto"/>
              <w:ind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过程考核</w:t>
            </w:r>
          </w:p>
        </w:tc>
        <w:tc>
          <w:tcPr>
            <w:tcW w:w="1356" w:type="dxa"/>
            <w:tcBorders>
              <w:tl2br w:val="nil"/>
              <w:tr2bl w:val="nil"/>
            </w:tcBorders>
            <w:vAlign w:val="center"/>
          </w:tcPr>
          <w:p w14:paraId="765B0B6E">
            <w:pPr>
              <w:spacing w:line="240" w:lineRule="auto"/>
              <w:ind w:firstLine="0" w:firstLineChars="0"/>
              <w:jc w:val="center"/>
              <w:rPr>
                <w:rFonts w:ascii="仿宋_GB2312" w:hAnsi="仿宋_GB2312" w:cs="仿宋_GB2312"/>
                <w:sz w:val="24"/>
                <w:szCs w:val="24"/>
              </w:rPr>
            </w:pPr>
            <w:r>
              <w:rPr>
                <w:rFonts w:hint="eastAsia" w:ascii="仿宋_GB2312" w:hAnsi="仿宋_GB2312" w:cs="仿宋_GB2312"/>
                <w:sz w:val="24"/>
                <w:szCs w:val="24"/>
                <w:lang w:val="en-US" w:eastAsia="zh-CN"/>
              </w:rPr>
              <w:t>课堂</w:t>
            </w:r>
            <w:r>
              <w:rPr>
                <w:rFonts w:hint="eastAsia" w:ascii="仿宋_GB2312" w:hAnsi="仿宋_GB2312" w:cs="仿宋_GB2312"/>
                <w:sz w:val="24"/>
                <w:szCs w:val="24"/>
              </w:rPr>
              <w:t>作业</w:t>
            </w:r>
          </w:p>
        </w:tc>
        <w:tc>
          <w:tcPr>
            <w:tcW w:w="3024" w:type="dxa"/>
            <w:gridSpan w:val="3"/>
            <w:vMerge w:val="restart"/>
            <w:tcBorders>
              <w:tl2br w:val="nil"/>
              <w:tr2bl w:val="nil"/>
            </w:tcBorders>
          </w:tcPr>
          <w:p w14:paraId="108A360C">
            <w:pPr>
              <w:spacing w:line="240" w:lineRule="auto"/>
              <w:ind w:firstLine="0" w:firstLineChars="0"/>
              <w:jc w:val="left"/>
              <w:rPr>
                <w:rFonts w:hint="eastAsia" w:ascii="仿宋_GB2312" w:hAnsi="仿宋_GB2312" w:cs="仿宋_GB2312"/>
                <w:sz w:val="24"/>
                <w:szCs w:val="24"/>
                <w:lang w:eastAsia="zh-CN"/>
              </w:rPr>
            </w:pPr>
            <w:r>
              <w:rPr>
                <w:rFonts w:hint="eastAsia" w:ascii="仿宋_GB2312" w:hAnsi="仿宋_GB2312" w:cs="仿宋_GB2312"/>
                <w:sz w:val="24"/>
                <w:szCs w:val="24"/>
              </w:rPr>
              <w:t>学习态度</w:t>
            </w:r>
            <w:r>
              <w:rPr>
                <w:rFonts w:hint="eastAsia" w:ascii="仿宋_GB2312" w:hAnsi="仿宋_GB2312" w:cs="仿宋_GB2312"/>
                <w:sz w:val="24"/>
                <w:szCs w:val="24"/>
                <w:lang w:eastAsia="zh-CN"/>
              </w:rPr>
              <w:t>、</w:t>
            </w:r>
            <w:r>
              <w:rPr>
                <w:rFonts w:hint="eastAsia" w:ascii="仿宋_GB2312" w:hAnsi="仿宋_GB2312" w:cs="仿宋_GB2312"/>
                <w:sz w:val="24"/>
                <w:szCs w:val="24"/>
              </w:rPr>
              <w:t>课堂纪律</w:t>
            </w:r>
            <w:r>
              <w:rPr>
                <w:rFonts w:hint="eastAsia" w:ascii="仿宋_GB2312" w:hAnsi="仿宋_GB2312" w:cs="仿宋_GB2312"/>
                <w:sz w:val="24"/>
                <w:szCs w:val="24"/>
                <w:lang w:eastAsia="zh-CN"/>
              </w:rPr>
              <w:t>、</w:t>
            </w:r>
          </w:p>
          <w:p w14:paraId="18A622F4">
            <w:pPr>
              <w:spacing w:line="240" w:lineRule="auto"/>
              <w:ind w:firstLine="0" w:firstLineChars="0"/>
              <w:jc w:val="left"/>
              <w:rPr>
                <w:rFonts w:ascii="仿宋_GB2312" w:hAnsi="仿宋_GB2312" w:cs="仿宋_GB2312"/>
                <w:sz w:val="24"/>
                <w:szCs w:val="24"/>
              </w:rPr>
            </w:pPr>
            <w:r>
              <w:rPr>
                <w:rFonts w:hint="eastAsia" w:ascii="仿宋_GB2312" w:hAnsi="仿宋_GB2312" w:cs="仿宋_GB2312"/>
                <w:sz w:val="24"/>
                <w:szCs w:val="24"/>
              </w:rPr>
              <w:t>团队合作精神</w:t>
            </w:r>
            <w:r>
              <w:rPr>
                <w:rFonts w:hint="eastAsia" w:ascii="仿宋_GB2312" w:hAnsi="仿宋_GB2312" w:cs="仿宋_GB2312"/>
                <w:sz w:val="24"/>
                <w:szCs w:val="24"/>
                <w:lang w:eastAsia="zh-CN"/>
              </w:rPr>
              <w:t>、</w:t>
            </w:r>
            <w:r>
              <w:rPr>
                <w:rFonts w:hint="eastAsia" w:ascii="仿宋_GB2312" w:hAnsi="仿宋_GB2312" w:cs="仿宋_GB2312"/>
                <w:sz w:val="24"/>
                <w:szCs w:val="24"/>
              </w:rPr>
              <w:t>职业规范</w:t>
            </w:r>
            <w:r>
              <w:rPr>
                <w:rFonts w:hint="eastAsia" w:ascii="仿宋_GB2312" w:hAnsi="仿宋_GB2312" w:cs="仿宋_GB2312"/>
                <w:sz w:val="24"/>
                <w:szCs w:val="24"/>
                <w:lang w:eastAsia="zh-CN"/>
              </w:rPr>
              <w:t>、</w:t>
            </w:r>
            <w:r>
              <w:rPr>
                <w:rFonts w:hint="eastAsia" w:ascii="仿宋_GB2312" w:hAnsi="仿宋_GB2312" w:cs="仿宋_GB2312"/>
                <w:sz w:val="24"/>
                <w:szCs w:val="24"/>
              </w:rPr>
              <w:t>职业素养</w:t>
            </w:r>
            <w:r>
              <w:rPr>
                <w:rFonts w:hint="eastAsia" w:ascii="仿宋_GB2312" w:hAnsi="仿宋_GB2312" w:cs="仿宋_GB2312"/>
                <w:sz w:val="24"/>
                <w:szCs w:val="24"/>
                <w:lang w:eastAsia="zh-CN"/>
              </w:rPr>
              <w:t>、</w:t>
            </w:r>
            <w:r>
              <w:rPr>
                <w:rFonts w:hint="eastAsia" w:ascii="仿宋_GB2312" w:hAnsi="仿宋_GB2312" w:cs="仿宋_GB2312"/>
                <w:sz w:val="24"/>
                <w:szCs w:val="24"/>
              </w:rPr>
              <w:t>职业道德</w:t>
            </w:r>
          </w:p>
        </w:tc>
        <w:tc>
          <w:tcPr>
            <w:tcW w:w="2505" w:type="dxa"/>
            <w:vMerge w:val="restart"/>
            <w:tcBorders>
              <w:tl2br w:val="nil"/>
              <w:tr2bl w:val="nil"/>
            </w:tcBorders>
          </w:tcPr>
          <w:p w14:paraId="1E12782E">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小组讨论</w:t>
            </w:r>
            <w:r>
              <w:rPr>
                <w:rFonts w:hint="eastAsia" w:ascii="仿宋_GB2312" w:hAnsi="仿宋_GB2312" w:cs="仿宋_GB2312"/>
                <w:sz w:val="24"/>
                <w:szCs w:val="24"/>
                <w:lang w:eastAsia="zh-CN"/>
              </w:rPr>
              <w:t>、</w:t>
            </w:r>
            <w:r>
              <w:rPr>
                <w:rFonts w:hint="eastAsia" w:ascii="仿宋_GB2312" w:hAnsi="仿宋_GB2312" w:cs="仿宋_GB2312"/>
                <w:sz w:val="24"/>
                <w:szCs w:val="24"/>
              </w:rPr>
              <w:t>课堂提问</w:t>
            </w:r>
            <w:r>
              <w:rPr>
                <w:rFonts w:hint="eastAsia" w:ascii="仿宋_GB2312" w:hAnsi="仿宋_GB2312" w:cs="仿宋_GB2312"/>
                <w:sz w:val="24"/>
                <w:szCs w:val="24"/>
                <w:lang w:eastAsia="zh-CN"/>
              </w:rPr>
              <w:t>、</w:t>
            </w:r>
            <w:r>
              <w:rPr>
                <w:rFonts w:hint="eastAsia" w:ascii="仿宋_GB2312" w:hAnsi="仿宋_GB2312" w:cs="仿宋_GB2312"/>
                <w:sz w:val="24"/>
                <w:szCs w:val="24"/>
              </w:rPr>
              <w:t>小组作业</w:t>
            </w:r>
            <w:r>
              <w:rPr>
                <w:rFonts w:hint="eastAsia" w:ascii="仿宋_GB2312" w:hAnsi="仿宋_GB2312" w:cs="仿宋_GB2312"/>
                <w:sz w:val="24"/>
                <w:szCs w:val="24"/>
                <w:lang w:eastAsia="zh-CN"/>
              </w:rPr>
              <w:t>、</w:t>
            </w:r>
            <w:r>
              <w:rPr>
                <w:rFonts w:hint="eastAsia" w:ascii="仿宋_GB2312" w:hAnsi="仿宋_GB2312" w:cs="仿宋_GB2312"/>
                <w:sz w:val="24"/>
                <w:szCs w:val="24"/>
              </w:rPr>
              <w:t>平时作业</w:t>
            </w:r>
            <w:r>
              <w:rPr>
                <w:rFonts w:hint="eastAsia" w:ascii="仿宋_GB2312" w:hAnsi="仿宋_GB2312" w:cs="仿宋_GB2312"/>
                <w:sz w:val="24"/>
                <w:szCs w:val="24"/>
                <w:lang w:eastAsia="zh-CN"/>
              </w:rPr>
              <w:t>、</w:t>
            </w:r>
            <w:r>
              <w:rPr>
                <w:rFonts w:hint="eastAsia" w:ascii="仿宋_GB2312" w:hAnsi="仿宋_GB2312" w:cs="仿宋_GB2312"/>
                <w:sz w:val="24"/>
                <w:szCs w:val="24"/>
              </w:rPr>
              <w:t>出勤</w:t>
            </w:r>
            <w:r>
              <w:rPr>
                <w:rFonts w:hint="eastAsia" w:ascii="仿宋_GB2312" w:hAnsi="仿宋_GB2312" w:cs="仿宋_GB2312"/>
                <w:sz w:val="24"/>
                <w:szCs w:val="24"/>
                <w:lang w:val="en-US" w:eastAsia="zh-CN"/>
              </w:rPr>
              <w:t>率</w:t>
            </w:r>
            <w:r>
              <w:rPr>
                <w:rFonts w:hint="eastAsia" w:ascii="仿宋_GB2312" w:hAnsi="仿宋_GB2312" w:cs="仿宋_GB2312"/>
                <w:sz w:val="24"/>
                <w:szCs w:val="24"/>
              </w:rPr>
              <w:t>等</w:t>
            </w:r>
          </w:p>
        </w:tc>
        <w:tc>
          <w:tcPr>
            <w:tcW w:w="1134" w:type="dxa"/>
            <w:vMerge w:val="restart"/>
            <w:tcBorders>
              <w:tl2br w:val="nil"/>
              <w:tr2bl w:val="nil"/>
            </w:tcBorders>
            <w:vAlign w:val="center"/>
          </w:tcPr>
          <w:p w14:paraId="459946BD">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40%</w:t>
            </w:r>
          </w:p>
        </w:tc>
      </w:tr>
      <w:tr w14:paraId="183B2D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442" w:type="dxa"/>
            <w:vMerge w:val="continue"/>
            <w:tcBorders>
              <w:tl2br w:val="nil"/>
              <w:tr2bl w:val="nil"/>
            </w:tcBorders>
          </w:tcPr>
          <w:p w14:paraId="204953A7">
            <w:pPr>
              <w:spacing w:line="240" w:lineRule="auto"/>
              <w:ind w:firstLine="0" w:firstLineChars="0"/>
              <w:rPr>
                <w:rFonts w:ascii="仿宋_GB2312" w:hAnsi="仿宋_GB2312" w:cs="仿宋_GB2312"/>
                <w:sz w:val="24"/>
                <w:szCs w:val="24"/>
              </w:rPr>
            </w:pPr>
          </w:p>
        </w:tc>
        <w:tc>
          <w:tcPr>
            <w:tcW w:w="1197" w:type="dxa"/>
            <w:vMerge w:val="continue"/>
            <w:tcBorders>
              <w:tl2br w:val="nil"/>
              <w:tr2bl w:val="nil"/>
            </w:tcBorders>
            <w:vAlign w:val="center"/>
          </w:tcPr>
          <w:p w14:paraId="381AF992">
            <w:pPr>
              <w:spacing w:line="240" w:lineRule="auto"/>
              <w:ind w:firstLine="0" w:firstLineChars="0"/>
              <w:rPr>
                <w:rFonts w:ascii="仿宋_GB2312" w:hAnsi="仿宋_GB2312" w:cs="仿宋_GB2312"/>
                <w:sz w:val="24"/>
                <w:szCs w:val="24"/>
              </w:rPr>
            </w:pPr>
          </w:p>
        </w:tc>
        <w:tc>
          <w:tcPr>
            <w:tcW w:w="1356" w:type="dxa"/>
            <w:tcBorders>
              <w:tl2br w:val="nil"/>
              <w:tr2bl w:val="nil"/>
            </w:tcBorders>
            <w:vAlign w:val="center"/>
          </w:tcPr>
          <w:p w14:paraId="7DE52FF3">
            <w:pPr>
              <w:spacing w:line="240" w:lineRule="auto"/>
              <w:ind w:firstLine="0" w:firstLineChars="0"/>
              <w:jc w:val="center"/>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态度表现</w:t>
            </w:r>
          </w:p>
        </w:tc>
        <w:tc>
          <w:tcPr>
            <w:tcW w:w="3024" w:type="dxa"/>
            <w:gridSpan w:val="3"/>
            <w:vMerge w:val="continue"/>
            <w:tcBorders>
              <w:tl2br w:val="nil"/>
              <w:tr2bl w:val="nil"/>
            </w:tcBorders>
          </w:tcPr>
          <w:p w14:paraId="5C6D7C48">
            <w:pPr>
              <w:spacing w:line="240" w:lineRule="auto"/>
              <w:ind w:firstLine="0" w:firstLineChars="0"/>
              <w:rPr>
                <w:rFonts w:ascii="仿宋_GB2312" w:hAnsi="仿宋_GB2312" w:cs="仿宋_GB2312"/>
                <w:sz w:val="24"/>
                <w:szCs w:val="24"/>
              </w:rPr>
            </w:pPr>
          </w:p>
        </w:tc>
        <w:tc>
          <w:tcPr>
            <w:tcW w:w="2505" w:type="dxa"/>
            <w:vMerge w:val="continue"/>
            <w:tcBorders>
              <w:tl2br w:val="nil"/>
              <w:tr2bl w:val="nil"/>
            </w:tcBorders>
          </w:tcPr>
          <w:p w14:paraId="6F45AB7F">
            <w:pPr>
              <w:spacing w:line="240" w:lineRule="auto"/>
              <w:ind w:firstLine="0" w:firstLineChars="0"/>
              <w:rPr>
                <w:rFonts w:ascii="仿宋_GB2312" w:hAnsi="仿宋_GB2312" w:cs="仿宋_GB2312"/>
                <w:sz w:val="24"/>
                <w:szCs w:val="24"/>
              </w:rPr>
            </w:pPr>
          </w:p>
        </w:tc>
        <w:tc>
          <w:tcPr>
            <w:tcW w:w="1134" w:type="dxa"/>
            <w:vMerge w:val="continue"/>
            <w:tcBorders>
              <w:tl2br w:val="nil"/>
              <w:tr2bl w:val="nil"/>
            </w:tcBorders>
            <w:vAlign w:val="center"/>
          </w:tcPr>
          <w:p w14:paraId="5ED12311">
            <w:pPr>
              <w:spacing w:line="240" w:lineRule="auto"/>
              <w:ind w:firstLine="0" w:firstLineChars="0"/>
              <w:jc w:val="center"/>
              <w:rPr>
                <w:rFonts w:ascii="仿宋_GB2312" w:hAnsi="仿宋_GB2312" w:cs="仿宋_GB2312"/>
                <w:sz w:val="24"/>
                <w:szCs w:val="24"/>
              </w:rPr>
            </w:pPr>
          </w:p>
        </w:tc>
      </w:tr>
      <w:tr w14:paraId="768FF9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2" w:type="dxa"/>
            <w:vMerge w:val="continue"/>
            <w:tcBorders>
              <w:tl2br w:val="nil"/>
              <w:tr2bl w:val="nil"/>
            </w:tcBorders>
          </w:tcPr>
          <w:p w14:paraId="3153176A">
            <w:pPr>
              <w:spacing w:line="240" w:lineRule="auto"/>
              <w:ind w:firstLine="0" w:firstLineChars="0"/>
              <w:rPr>
                <w:rFonts w:ascii="仿宋_GB2312" w:hAnsi="仿宋_GB2312" w:cs="仿宋_GB2312"/>
                <w:sz w:val="24"/>
                <w:szCs w:val="24"/>
              </w:rPr>
            </w:pPr>
          </w:p>
        </w:tc>
        <w:tc>
          <w:tcPr>
            <w:tcW w:w="1197" w:type="dxa"/>
            <w:tcBorders>
              <w:tl2br w:val="nil"/>
              <w:tr2bl w:val="nil"/>
            </w:tcBorders>
            <w:vAlign w:val="center"/>
          </w:tcPr>
          <w:p w14:paraId="235D5D0F">
            <w:pPr>
              <w:spacing w:line="240" w:lineRule="auto"/>
              <w:ind w:firstLine="0" w:firstLineChars="0"/>
              <w:rPr>
                <w:rFonts w:hint="eastAsia" w:ascii="仿宋_GB2312" w:hAnsi="仿宋_GB2312" w:cs="仿宋_GB2312"/>
                <w:sz w:val="24"/>
                <w:szCs w:val="24"/>
                <w:lang w:val="en-US" w:eastAsia="zh-CN"/>
              </w:rPr>
            </w:pPr>
          </w:p>
        </w:tc>
        <w:tc>
          <w:tcPr>
            <w:tcW w:w="1356" w:type="dxa"/>
            <w:tcBorders>
              <w:tl2br w:val="nil"/>
              <w:tr2bl w:val="nil"/>
            </w:tcBorders>
            <w:vAlign w:val="center"/>
          </w:tcPr>
          <w:p w14:paraId="36F3CA69">
            <w:pPr>
              <w:spacing w:line="240" w:lineRule="auto"/>
              <w:ind w:firstLine="0" w:firstLineChars="0"/>
              <w:jc w:val="center"/>
              <w:rPr>
                <w:rFonts w:hint="eastAsia" w:ascii="仿宋_GB2312" w:hAnsi="仿宋_GB2312" w:cs="仿宋_GB2312"/>
                <w:sz w:val="24"/>
                <w:szCs w:val="24"/>
                <w:lang w:val="en-US" w:eastAsia="zh-CN"/>
              </w:rPr>
            </w:pPr>
          </w:p>
        </w:tc>
        <w:tc>
          <w:tcPr>
            <w:tcW w:w="1008" w:type="dxa"/>
            <w:tcBorders>
              <w:tl2br w:val="nil"/>
              <w:tr2bl w:val="nil"/>
            </w:tcBorders>
          </w:tcPr>
          <w:p w14:paraId="7C319851">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优秀</w:t>
            </w:r>
          </w:p>
        </w:tc>
        <w:tc>
          <w:tcPr>
            <w:tcW w:w="1008" w:type="dxa"/>
            <w:tcBorders>
              <w:tl2br w:val="nil"/>
              <w:tr2bl w:val="nil"/>
            </w:tcBorders>
          </w:tcPr>
          <w:p w14:paraId="6EA92908">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良好</w:t>
            </w:r>
          </w:p>
        </w:tc>
        <w:tc>
          <w:tcPr>
            <w:tcW w:w="1008" w:type="dxa"/>
            <w:tcBorders>
              <w:tl2br w:val="nil"/>
              <w:tr2bl w:val="nil"/>
            </w:tcBorders>
          </w:tcPr>
          <w:p w14:paraId="4651C359">
            <w:pPr>
              <w:spacing w:line="240" w:lineRule="auto"/>
              <w:ind w:firstLine="0" w:firstLineChars="0"/>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一般</w:t>
            </w:r>
          </w:p>
        </w:tc>
        <w:tc>
          <w:tcPr>
            <w:tcW w:w="2505" w:type="dxa"/>
            <w:tcBorders>
              <w:tl2br w:val="nil"/>
              <w:tr2bl w:val="nil"/>
            </w:tcBorders>
          </w:tcPr>
          <w:p w14:paraId="63107105">
            <w:pPr>
              <w:spacing w:line="240" w:lineRule="auto"/>
              <w:ind w:firstLine="0" w:firstLineChars="0"/>
              <w:rPr>
                <w:rFonts w:ascii="仿宋_GB2312" w:hAnsi="仿宋_GB2312" w:cs="仿宋_GB2312"/>
                <w:sz w:val="24"/>
                <w:szCs w:val="24"/>
              </w:rPr>
            </w:pPr>
          </w:p>
        </w:tc>
        <w:tc>
          <w:tcPr>
            <w:tcW w:w="1134" w:type="dxa"/>
            <w:tcBorders>
              <w:tl2br w:val="nil"/>
              <w:tr2bl w:val="nil"/>
            </w:tcBorders>
            <w:vAlign w:val="center"/>
          </w:tcPr>
          <w:p w14:paraId="2C343830">
            <w:pPr>
              <w:spacing w:line="240" w:lineRule="auto"/>
              <w:ind w:firstLine="0" w:firstLineChars="0"/>
              <w:jc w:val="center"/>
              <w:rPr>
                <w:rFonts w:ascii="仿宋_GB2312" w:hAnsi="仿宋_GB2312" w:cs="仿宋_GB2312"/>
                <w:sz w:val="24"/>
                <w:szCs w:val="24"/>
              </w:rPr>
            </w:pPr>
          </w:p>
        </w:tc>
      </w:tr>
      <w:tr w14:paraId="39B147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2" w:type="dxa"/>
            <w:vMerge w:val="continue"/>
            <w:tcBorders>
              <w:tl2br w:val="nil"/>
              <w:tr2bl w:val="nil"/>
            </w:tcBorders>
          </w:tcPr>
          <w:p w14:paraId="3871D16F">
            <w:pPr>
              <w:spacing w:line="240" w:lineRule="auto"/>
              <w:ind w:firstLine="0" w:firstLineChars="0"/>
              <w:rPr>
                <w:rFonts w:ascii="仿宋_GB2312" w:hAnsi="仿宋_GB2312" w:cs="仿宋_GB2312"/>
                <w:sz w:val="24"/>
                <w:szCs w:val="24"/>
              </w:rPr>
            </w:pPr>
          </w:p>
        </w:tc>
        <w:tc>
          <w:tcPr>
            <w:tcW w:w="1197" w:type="dxa"/>
            <w:vMerge w:val="restart"/>
            <w:tcBorders>
              <w:tl2br w:val="nil"/>
              <w:tr2bl w:val="nil"/>
            </w:tcBorders>
            <w:vAlign w:val="center"/>
          </w:tcPr>
          <w:p w14:paraId="5BB61CBE">
            <w:pPr>
              <w:spacing w:line="240" w:lineRule="auto"/>
              <w:ind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终结考核</w:t>
            </w:r>
          </w:p>
        </w:tc>
        <w:tc>
          <w:tcPr>
            <w:tcW w:w="1356" w:type="dxa"/>
            <w:tcBorders>
              <w:tl2br w:val="nil"/>
              <w:tr2bl w:val="nil"/>
            </w:tcBorders>
            <w:vAlign w:val="center"/>
          </w:tcPr>
          <w:p w14:paraId="747979B1">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学习情境</w:t>
            </w:r>
          </w:p>
        </w:tc>
        <w:tc>
          <w:tcPr>
            <w:tcW w:w="1008" w:type="dxa"/>
            <w:tcBorders>
              <w:tl2br w:val="nil"/>
              <w:tr2bl w:val="nil"/>
            </w:tcBorders>
          </w:tcPr>
          <w:p w14:paraId="3A719508">
            <w:pPr>
              <w:spacing w:line="240" w:lineRule="auto"/>
              <w:ind w:firstLine="0" w:firstLineChars="0"/>
              <w:jc w:val="left"/>
              <w:rPr>
                <w:rFonts w:hint="eastAsia" w:ascii="仿宋_GB2312" w:hAnsi="仿宋_GB2312" w:cs="仿宋_GB2312"/>
                <w:sz w:val="24"/>
                <w:szCs w:val="24"/>
              </w:rPr>
            </w:pPr>
            <w:r>
              <w:rPr>
                <w:rFonts w:hint="eastAsia" w:ascii="仿宋_GB2312" w:hAnsi="仿宋_GB2312" w:cs="仿宋_GB2312"/>
                <w:sz w:val="24"/>
                <w:szCs w:val="24"/>
                <w:lang w:val="en-US" w:eastAsia="zh-CN"/>
              </w:rPr>
              <w:t>逻辑清晰,分析合理, 表述流畅, 团队合 作,完</w:t>
            </w:r>
          </w:p>
          <w:p w14:paraId="61B6179B">
            <w:pPr>
              <w:spacing w:line="240" w:lineRule="auto"/>
              <w:ind w:firstLine="0" w:firstLineChars="0"/>
              <w:jc w:val="left"/>
              <w:rPr>
                <w:rFonts w:hint="eastAsia" w:ascii="仿宋_GB2312" w:hAnsi="仿宋_GB2312" w:cs="仿宋_GB2312"/>
                <w:sz w:val="24"/>
                <w:szCs w:val="24"/>
              </w:rPr>
            </w:pPr>
            <w:r>
              <w:rPr>
                <w:rFonts w:hint="eastAsia" w:ascii="仿宋_GB2312" w:hAnsi="仿宋_GB2312" w:cs="仿宋_GB2312"/>
                <w:sz w:val="24"/>
                <w:szCs w:val="24"/>
                <w:lang w:val="en-US" w:eastAsia="zh-CN"/>
              </w:rPr>
              <w:t>成情况</w:t>
            </w:r>
          </w:p>
          <w:p w14:paraId="0D11297E">
            <w:pPr>
              <w:spacing w:line="240" w:lineRule="auto"/>
              <w:ind w:firstLine="0" w:firstLineChars="0"/>
              <w:jc w:val="left"/>
              <w:rPr>
                <w:rFonts w:hint="eastAsia" w:ascii="仿宋_GB2312" w:hAnsi="仿宋_GB2312" w:cs="仿宋_GB2312"/>
                <w:sz w:val="24"/>
                <w:szCs w:val="24"/>
              </w:rPr>
            </w:pPr>
            <w:r>
              <w:rPr>
                <w:rFonts w:hint="eastAsia" w:ascii="仿宋_GB2312" w:hAnsi="仿宋_GB2312" w:cs="仿宋_GB2312"/>
                <w:sz w:val="24"/>
                <w:szCs w:val="24"/>
                <w:lang w:val="en-US" w:eastAsia="zh-CN"/>
              </w:rPr>
              <w:t>优秀</w:t>
            </w:r>
          </w:p>
        </w:tc>
        <w:tc>
          <w:tcPr>
            <w:tcW w:w="1008" w:type="dxa"/>
            <w:tcBorders>
              <w:tl2br w:val="nil"/>
              <w:tr2bl w:val="nil"/>
            </w:tcBorders>
          </w:tcPr>
          <w:p w14:paraId="35763C0B">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逻辑较 </w:t>
            </w:r>
          </w:p>
          <w:p w14:paraId="7A7300B9">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清晰, </w:t>
            </w:r>
          </w:p>
          <w:p w14:paraId="110FD98F">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分析较 </w:t>
            </w:r>
          </w:p>
          <w:p w14:paraId="1A9F11F1">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合理, </w:t>
            </w:r>
          </w:p>
          <w:p w14:paraId="0A1516E2">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表述较 </w:t>
            </w:r>
          </w:p>
          <w:p w14:paraId="0EE22394">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流畅, </w:t>
            </w:r>
          </w:p>
          <w:p w14:paraId="480BE324">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团队合 </w:t>
            </w:r>
          </w:p>
          <w:p w14:paraId="5326EA0A">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作,完 </w:t>
            </w:r>
          </w:p>
          <w:p w14:paraId="5A399614">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成情况 </w:t>
            </w:r>
          </w:p>
          <w:p w14:paraId="230A0CE6">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较优秀</w:t>
            </w:r>
          </w:p>
          <w:p w14:paraId="2FF20B13">
            <w:pPr>
              <w:spacing w:line="240" w:lineRule="auto"/>
              <w:ind w:firstLine="0" w:firstLineChars="0"/>
              <w:jc w:val="both"/>
              <w:rPr>
                <w:rFonts w:hint="eastAsia" w:ascii="仿宋_GB2312" w:hAnsi="仿宋_GB2312" w:cs="仿宋_GB2312"/>
                <w:sz w:val="24"/>
                <w:szCs w:val="24"/>
              </w:rPr>
            </w:pPr>
          </w:p>
        </w:tc>
        <w:tc>
          <w:tcPr>
            <w:tcW w:w="1008" w:type="dxa"/>
            <w:tcBorders>
              <w:tl2br w:val="nil"/>
              <w:tr2bl w:val="nil"/>
            </w:tcBorders>
          </w:tcPr>
          <w:p w14:paraId="061C535E">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逻辑一 </w:t>
            </w:r>
          </w:p>
          <w:p w14:paraId="5BF1E3CC">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般,分 </w:t>
            </w:r>
          </w:p>
          <w:p w14:paraId="60F4006A">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析一 </w:t>
            </w:r>
          </w:p>
          <w:p w14:paraId="07EDB90D">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般,表 </w:t>
            </w:r>
          </w:p>
          <w:p w14:paraId="29E7601B">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述流 </w:t>
            </w:r>
          </w:p>
          <w:p w14:paraId="115D7BC9">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畅,团 </w:t>
            </w:r>
          </w:p>
          <w:p w14:paraId="674B5D53">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队合作 </w:t>
            </w:r>
          </w:p>
          <w:p w14:paraId="65C129A0">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一般, </w:t>
            </w:r>
          </w:p>
          <w:p w14:paraId="4A0DBED8">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 xml:space="preserve">完成情 </w:t>
            </w:r>
          </w:p>
          <w:p w14:paraId="30021193">
            <w:pPr>
              <w:spacing w:line="240" w:lineRule="auto"/>
              <w:ind w:firstLine="0" w:firstLineChars="0"/>
              <w:jc w:val="both"/>
              <w:rPr>
                <w:rFonts w:hint="eastAsia" w:ascii="仿宋_GB2312" w:hAnsi="仿宋_GB2312" w:cs="仿宋_GB2312"/>
                <w:sz w:val="24"/>
                <w:szCs w:val="24"/>
              </w:rPr>
            </w:pPr>
            <w:r>
              <w:rPr>
                <w:rFonts w:hint="eastAsia" w:ascii="仿宋_GB2312" w:hAnsi="仿宋_GB2312" w:cs="仿宋_GB2312"/>
                <w:sz w:val="24"/>
                <w:szCs w:val="24"/>
                <w:lang w:val="en-US" w:eastAsia="zh-CN"/>
              </w:rPr>
              <w:t>况一般</w:t>
            </w:r>
          </w:p>
          <w:p w14:paraId="0FAFC6B0">
            <w:pPr>
              <w:spacing w:line="240" w:lineRule="auto"/>
              <w:ind w:firstLine="0" w:firstLineChars="0"/>
              <w:jc w:val="both"/>
              <w:rPr>
                <w:rFonts w:hint="eastAsia" w:ascii="仿宋_GB2312" w:hAnsi="仿宋_GB2312" w:cs="仿宋_GB2312"/>
                <w:sz w:val="24"/>
                <w:szCs w:val="24"/>
              </w:rPr>
            </w:pPr>
          </w:p>
        </w:tc>
        <w:tc>
          <w:tcPr>
            <w:tcW w:w="2505" w:type="dxa"/>
            <w:tcBorders>
              <w:tl2br w:val="nil"/>
              <w:tr2bl w:val="nil"/>
            </w:tcBorders>
          </w:tcPr>
          <w:p w14:paraId="13689509">
            <w:pPr>
              <w:spacing w:line="240" w:lineRule="auto"/>
              <w:ind w:firstLine="0" w:firstLineChars="0"/>
              <w:rPr>
                <w:rFonts w:hint="default" w:ascii="仿宋_GB2312" w:hAnsi="仿宋_GB2312" w:cs="仿宋_GB2312"/>
                <w:sz w:val="24"/>
                <w:szCs w:val="24"/>
                <w:lang w:val="en-US"/>
              </w:rPr>
            </w:pPr>
            <w:r>
              <w:rPr>
                <w:rFonts w:hint="eastAsia" w:ascii="仿宋_GB2312" w:hAnsi="仿宋_GB2312" w:cs="仿宋_GB2312"/>
                <w:sz w:val="24"/>
                <w:szCs w:val="24"/>
                <w:lang w:val="en-US" w:eastAsia="zh-CN"/>
              </w:rPr>
              <w:t>小组讨论、团队合作、课内实践</w:t>
            </w:r>
          </w:p>
        </w:tc>
        <w:tc>
          <w:tcPr>
            <w:tcW w:w="1134" w:type="dxa"/>
            <w:tcBorders>
              <w:tl2br w:val="nil"/>
              <w:tr2bl w:val="nil"/>
            </w:tcBorders>
            <w:vAlign w:val="center"/>
          </w:tcPr>
          <w:p w14:paraId="16B1AFC8">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30%</w:t>
            </w:r>
          </w:p>
        </w:tc>
      </w:tr>
      <w:tr w14:paraId="2E642C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2" w:type="dxa"/>
            <w:vMerge w:val="continue"/>
            <w:tcBorders>
              <w:tl2br w:val="nil"/>
              <w:tr2bl w:val="nil"/>
            </w:tcBorders>
          </w:tcPr>
          <w:p w14:paraId="4E677923">
            <w:pPr>
              <w:spacing w:line="240" w:lineRule="auto"/>
              <w:ind w:firstLine="0" w:firstLineChars="0"/>
              <w:rPr>
                <w:rFonts w:ascii="仿宋_GB2312" w:hAnsi="仿宋_GB2312" w:cs="仿宋_GB2312"/>
                <w:sz w:val="24"/>
                <w:szCs w:val="24"/>
              </w:rPr>
            </w:pPr>
            <w:bookmarkStart w:id="34" w:name="_Toc11140"/>
            <w:bookmarkStart w:id="35" w:name="_Toc18233"/>
            <w:bookmarkStart w:id="36" w:name="_Toc502337268"/>
          </w:p>
        </w:tc>
        <w:tc>
          <w:tcPr>
            <w:tcW w:w="1197" w:type="dxa"/>
            <w:vMerge w:val="continue"/>
            <w:tcBorders>
              <w:tl2br w:val="nil"/>
              <w:tr2bl w:val="nil"/>
            </w:tcBorders>
            <w:vAlign w:val="center"/>
          </w:tcPr>
          <w:p w14:paraId="31A363F2">
            <w:pPr>
              <w:spacing w:line="240" w:lineRule="auto"/>
              <w:ind w:firstLine="0" w:firstLineChars="0"/>
              <w:rPr>
                <w:rFonts w:hint="eastAsia" w:ascii="仿宋_GB2312" w:hAnsi="仿宋_GB2312" w:cs="仿宋_GB2312"/>
                <w:sz w:val="24"/>
                <w:szCs w:val="24"/>
                <w:lang w:val="en-US" w:eastAsia="zh-CN"/>
              </w:rPr>
            </w:pPr>
          </w:p>
        </w:tc>
        <w:tc>
          <w:tcPr>
            <w:tcW w:w="1356" w:type="dxa"/>
            <w:tcBorders>
              <w:tl2br w:val="nil"/>
              <w:tr2bl w:val="nil"/>
            </w:tcBorders>
            <w:vAlign w:val="center"/>
          </w:tcPr>
          <w:p w14:paraId="0D120404">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平时作业</w:t>
            </w:r>
          </w:p>
        </w:tc>
        <w:tc>
          <w:tcPr>
            <w:tcW w:w="1008" w:type="dxa"/>
            <w:tcBorders>
              <w:tl2br w:val="nil"/>
              <w:tr2bl w:val="nil"/>
            </w:tcBorders>
          </w:tcPr>
          <w:p w14:paraId="4C7A5A5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及时上 </w:t>
            </w:r>
          </w:p>
          <w:p w14:paraId="05775A9B">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交 ,10 </w:t>
            </w:r>
          </w:p>
          <w:p w14:paraId="5AA80CB2">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次A 以 </w:t>
            </w:r>
          </w:p>
          <w:p w14:paraId="50F8622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上, 书 </w:t>
            </w:r>
          </w:p>
          <w:p w14:paraId="1257C45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写规范</w:t>
            </w:r>
          </w:p>
          <w:p w14:paraId="03FEE36C">
            <w:pPr>
              <w:spacing w:line="240" w:lineRule="auto"/>
              <w:ind w:firstLine="0" w:firstLineChars="0"/>
              <w:jc w:val="both"/>
              <w:rPr>
                <w:rFonts w:hint="eastAsia" w:ascii="仿宋_GB2312" w:hAnsi="仿宋_GB2312" w:cs="仿宋_GB2312"/>
                <w:sz w:val="24"/>
                <w:szCs w:val="24"/>
                <w:lang w:val="en-US" w:eastAsia="zh-CN"/>
              </w:rPr>
            </w:pPr>
          </w:p>
        </w:tc>
        <w:tc>
          <w:tcPr>
            <w:tcW w:w="1008" w:type="dxa"/>
            <w:tcBorders>
              <w:tl2br w:val="nil"/>
              <w:tr2bl w:val="nil"/>
            </w:tcBorders>
          </w:tcPr>
          <w:p w14:paraId="36E645F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及时上 </w:t>
            </w:r>
          </w:p>
          <w:p w14:paraId="37487DE1">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交8 次 </w:t>
            </w:r>
          </w:p>
          <w:p w14:paraId="0DA42D4C">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B,书写 </w:t>
            </w:r>
          </w:p>
          <w:p w14:paraId="370882B0">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基本规 </w:t>
            </w:r>
          </w:p>
          <w:p w14:paraId="126F35B9">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范</w:t>
            </w:r>
          </w:p>
          <w:p w14:paraId="6A22A3AC">
            <w:pPr>
              <w:spacing w:line="240" w:lineRule="auto"/>
              <w:ind w:firstLine="0" w:firstLineChars="0"/>
              <w:jc w:val="both"/>
              <w:rPr>
                <w:rFonts w:hint="eastAsia" w:ascii="仿宋_GB2312" w:hAnsi="仿宋_GB2312" w:cs="仿宋_GB2312"/>
                <w:sz w:val="24"/>
                <w:szCs w:val="24"/>
                <w:lang w:val="en-US" w:eastAsia="zh-CN"/>
              </w:rPr>
            </w:pPr>
          </w:p>
        </w:tc>
        <w:tc>
          <w:tcPr>
            <w:tcW w:w="1008" w:type="dxa"/>
            <w:tcBorders>
              <w:tl2br w:val="nil"/>
              <w:tr2bl w:val="nil"/>
            </w:tcBorders>
          </w:tcPr>
          <w:p w14:paraId="39F10054">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及时上 </w:t>
            </w:r>
          </w:p>
          <w:p w14:paraId="1E8300DE">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交5 次 </w:t>
            </w:r>
          </w:p>
          <w:p w14:paraId="47344985">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C,书写 </w:t>
            </w:r>
          </w:p>
          <w:p w14:paraId="42EC2738">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 xml:space="preserve">基本规 </w:t>
            </w:r>
          </w:p>
          <w:p w14:paraId="657E4577">
            <w:pPr>
              <w:spacing w:line="240" w:lineRule="auto"/>
              <w:ind w:firstLine="0" w:firstLineChars="0"/>
              <w:jc w:val="both"/>
              <w:rPr>
                <w:rFonts w:hint="eastAsia" w:ascii="仿宋_GB2312" w:hAnsi="仿宋_GB2312" w:cs="仿宋_GB2312"/>
                <w:sz w:val="24"/>
                <w:szCs w:val="24"/>
                <w:lang w:val="en-US" w:eastAsia="zh-CN"/>
              </w:rPr>
            </w:pPr>
            <w:r>
              <w:rPr>
                <w:rFonts w:hint="eastAsia" w:ascii="仿宋_GB2312" w:hAnsi="仿宋_GB2312" w:cs="仿宋_GB2312"/>
                <w:sz w:val="24"/>
                <w:szCs w:val="24"/>
                <w:lang w:val="en-US" w:eastAsia="zh-CN"/>
              </w:rPr>
              <w:t>范</w:t>
            </w:r>
          </w:p>
          <w:p w14:paraId="7FE93D37">
            <w:pPr>
              <w:spacing w:line="240" w:lineRule="auto"/>
              <w:ind w:firstLine="0" w:firstLineChars="0"/>
              <w:jc w:val="both"/>
              <w:rPr>
                <w:rFonts w:hint="eastAsia" w:ascii="仿宋_GB2312" w:hAnsi="仿宋_GB2312" w:cs="仿宋_GB2312"/>
                <w:sz w:val="24"/>
                <w:szCs w:val="24"/>
                <w:lang w:val="en-US" w:eastAsia="zh-CN"/>
              </w:rPr>
            </w:pPr>
          </w:p>
        </w:tc>
        <w:tc>
          <w:tcPr>
            <w:tcW w:w="2505" w:type="dxa"/>
            <w:tcBorders>
              <w:tl2br w:val="nil"/>
              <w:tr2bl w:val="nil"/>
            </w:tcBorders>
          </w:tcPr>
          <w:p w14:paraId="653F2AA9">
            <w:pPr>
              <w:spacing w:line="240" w:lineRule="auto"/>
              <w:ind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及时与完成质量</w:t>
            </w:r>
          </w:p>
        </w:tc>
        <w:tc>
          <w:tcPr>
            <w:tcW w:w="1134" w:type="dxa"/>
            <w:tcBorders>
              <w:tl2br w:val="nil"/>
              <w:tr2bl w:val="nil"/>
            </w:tcBorders>
            <w:vAlign w:val="center"/>
          </w:tcPr>
          <w:p w14:paraId="46BED4FF">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20%</w:t>
            </w:r>
          </w:p>
        </w:tc>
      </w:tr>
      <w:tr w14:paraId="594508D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42" w:type="dxa"/>
            <w:vMerge w:val="continue"/>
            <w:tcBorders>
              <w:tl2br w:val="nil"/>
              <w:tr2bl w:val="nil"/>
            </w:tcBorders>
          </w:tcPr>
          <w:p w14:paraId="7CEB0393">
            <w:pPr>
              <w:spacing w:line="240" w:lineRule="auto"/>
              <w:ind w:firstLine="0" w:firstLineChars="0"/>
              <w:rPr>
                <w:rFonts w:ascii="仿宋_GB2312" w:hAnsi="仿宋_GB2312" w:cs="仿宋_GB2312"/>
                <w:sz w:val="24"/>
                <w:szCs w:val="24"/>
              </w:rPr>
            </w:pPr>
          </w:p>
        </w:tc>
        <w:tc>
          <w:tcPr>
            <w:tcW w:w="1197" w:type="dxa"/>
            <w:vMerge w:val="continue"/>
            <w:tcBorders>
              <w:tl2br w:val="nil"/>
              <w:tr2bl w:val="nil"/>
            </w:tcBorders>
            <w:vAlign w:val="center"/>
          </w:tcPr>
          <w:p w14:paraId="05C1D9F2">
            <w:pPr>
              <w:spacing w:line="240" w:lineRule="auto"/>
              <w:ind w:firstLine="0" w:firstLineChars="0"/>
              <w:rPr>
                <w:rFonts w:hint="eastAsia" w:ascii="仿宋_GB2312" w:hAnsi="仿宋_GB2312" w:cs="仿宋_GB2312"/>
                <w:sz w:val="24"/>
                <w:szCs w:val="24"/>
                <w:lang w:val="en-US" w:eastAsia="zh-CN"/>
              </w:rPr>
            </w:pPr>
          </w:p>
        </w:tc>
        <w:tc>
          <w:tcPr>
            <w:tcW w:w="1356" w:type="dxa"/>
            <w:tcBorders>
              <w:tl2br w:val="nil"/>
              <w:tr2bl w:val="nil"/>
            </w:tcBorders>
            <w:vAlign w:val="center"/>
          </w:tcPr>
          <w:p w14:paraId="574514CF">
            <w:pPr>
              <w:spacing w:line="240" w:lineRule="auto"/>
              <w:ind w:firstLine="0" w:firstLineChars="0"/>
              <w:jc w:val="center"/>
              <w:rPr>
                <w:rFonts w:hint="default" w:ascii="仿宋_GB2312" w:hAnsi="仿宋_GB2312" w:cs="仿宋_GB2312"/>
                <w:sz w:val="24"/>
                <w:szCs w:val="24"/>
                <w:lang w:val="en-US" w:eastAsia="zh-CN"/>
              </w:rPr>
            </w:pPr>
            <w:r>
              <w:rPr>
                <w:rFonts w:hint="eastAsia" w:ascii="仿宋_GB2312" w:hAnsi="仿宋_GB2312" w:cs="仿宋_GB2312"/>
                <w:sz w:val="24"/>
                <w:szCs w:val="24"/>
                <w:lang w:val="en-US" w:eastAsia="zh-CN"/>
              </w:rPr>
              <w:t>考勤</w:t>
            </w:r>
          </w:p>
        </w:tc>
        <w:tc>
          <w:tcPr>
            <w:tcW w:w="1008" w:type="dxa"/>
            <w:tcBorders>
              <w:tl2br w:val="nil"/>
              <w:tr2bl w:val="nil"/>
            </w:tcBorders>
          </w:tcPr>
          <w:p w14:paraId="463B5996">
            <w:pPr>
              <w:keepNext w:val="0"/>
              <w:keepLines w:val="0"/>
              <w:widowControl/>
              <w:suppressLineNumbers w:val="0"/>
              <w:ind w:left="0" w:leftChars="0" w:firstLine="0" w:firstLineChars="0"/>
              <w:jc w:val="left"/>
            </w:pPr>
            <w:r>
              <w:rPr>
                <w:rFonts w:ascii="仿宋" w:hAnsi="仿宋" w:eastAsia="仿宋" w:cs="仿宋"/>
                <w:color w:val="000000"/>
                <w:kern w:val="0"/>
                <w:sz w:val="20"/>
                <w:szCs w:val="20"/>
                <w:lang w:val="en-US" w:eastAsia="zh-CN" w:bidi="ar"/>
              </w:rPr>
              <w:t>满勤</w:t>
            </w:r>
          </w:p>
          <w:p w14:paraId="54F00EB2">
            <w:pPr>
              <w:spacing w:line="240" w:lineRule="auto"/>
              <w:ind w:firstLine="0" w:firstLineChars="0"/>
              <w:rPr>
                <w:rFonts w:ascii="仿宋_GB2312" w:hAnsi="仿宋_GB2312" w:cs="仿宋_GB2312"/>
                <w:sz w:val="24"/>
                <w:szCs w:val="24"/>
              </w:rPr>
            </w:pPr>
          </w:p>
        </w:tc>
        <w:tc>
          <w:tcPr>
            <w:tcW w:w="1008" w:type="dxa"/>
            <w:tcBorders>
              <w:tl2br w:val="nil"/>
              <w:tr2bl w:val="nil"/>
            </w:tcBorders>
          </w:tcPr>
          <w:p w14:paraId="4E689145">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无旷</w:t>
            </w:r>
          </w:p>
          <w:p w14:paraId="5DFD15C8">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课,迟</w:t>
            </w:r>
          </w:p>
          <w:p w14:paraId="08F0FFB5">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到早退</w:t>
            </w:r>
          </w:p>
          <w:p w14:paraId="194A5553">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3 次以</w:t>
            </w:r>
          </w:p>
          <w:p w14:paraId="06A48FA4">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下</w:t>
            </w:r>
          </w:p>
        </w:tc>
        <w:tc>
          <w:tcPr>
            <w:tcW w:w="1008" w:type="dxa"/>
            <w:tcBorders>
              <w:tl2br w:val="nil"/>
              <w:tr2bl w:val="nil"/>
            </w:tcBorders>
          </w:tcPr>
          <w:p w14:paraId="271D6852">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旷课 2</w:t>
            </w:r>
          </w:p>
          <w:p w14:paraId="587DF335">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次以</w:t>
            </w:r>
          </w:p>
          <w:p w14:paraId="6AD4861B">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丙,迟</w:t>
            </w:r>
          </w:p>
          <w:p w14:paraId="25A3CC88">
            <w:pPr>
              <w:spacing w:line="240" w:lineRule="auto"/>
              <w:ind w:firstLine="0" w:firstLineChars="0"/>
              <w:rPr>
                <w:rFonts w:hint="eastAsia" w:ascii="仿宋_GB2312" w:hAnsi="仿宋_GB2312" w:cs="仿宋_GB2312"/>
                <w:sz w:val="24"/>
                <w:szCs w:val="24"/>
              </w:rPr>
            </w:pPr>
            <w:r>
              <w:rPr>
                <w:rFonts w:hint="eastAsia" w:ascii="仿宋_GB2312" w:hAnsi="仿宋_GB2312" w:cs="仿宋_GB2312"/>
                <w:sz w:val="24"/>
                <w:szCs w:val="24"/>
              </w:rPr>
              <w:t>到早退</w:t>
            </w:r>
          </w:p>
          <w:p w14:paraId="74960654">
            <w:pPr>
              <w:spacing w:line="240" w:lineRule="auto"/>
              <w:ind w:firstLine="0" w:firstLineChars="0"/>
              <w:rPr>
                <w:rFonts w:ascii="仿宋_GB2312" w:hAnsi="仿宋_GB2312" w:cs="仿宋_GB2312"/>
                <w:sz w:val="24"/>
                <w:szCs w:val="24"/>
              </w:rPr>
            </w:pPr>
            <w:r>
              <w:rPr>
                <w:rFonts w:hint="eastAsia" w:ascii="仿宋_GB2312" w:hAnsi="仿宋_GB2312" w:cs="仿宋_GB2312"/>
                <w:sz w:val="24"/>
                <w:szCs w:val="24"/>
              </w:rPr>
              <w:t>5 次以</w:t>
            </w:r>
          </w:p>
        </w:tc>
        <w:tc>
          <w:tcPr>
            <w:tcW w:w="2505" w:type="dxa"/>
            <w:tcBorders>
              <w:tl2br w:val="nil"/>
              <w:tr2bl w:val="nil"/>
            </w:tcBorders>
          </w:tcPr>
          <w:p w14:paraId="5AE0E2E0">
            <w:pPr>
              <w:spacing w:line="240" w:lineRule="auto"/>
              <w:ind w:firstLine="0" w:firstLineChars="0"/>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出勤</w:t>
            </w:r>
          </w:p>
        </w:tc>
        <w:tc>
          <w:tcPr>
            <w:tcW w:w="1134" w:type="dxa"/>
            <w:tcBorders>
              <w:tl2br w:val="nil"/>
              <w:tr2bl w:val="nil"/>
            </w:tcBorders>
            <w:vAlign w:val="center"/>
          </w:tcPr>
          <w:p w14:paraId="7FFD82A0">
            <w:pPr>
              <w:spacing w:line="240" w:lineRule="auto"/>
              <w:ind w:firstLine="0" w:firstLineChars="0"/>
              <w:jc w:val="center"/>
              <w:rPr>
                <w:rFonts w:hint="default"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10%</w:t>
            </w:r>
          </w:p>
        </w:tc>
      </w:tr>
    </w:tbl>
    <w:p w14:paraId="678BCB8B">
      <w:pPr>
        <w:pStyle w:val="2"/>
        <w:ind w:firstLine="653"/>
      </w:pPr>
      <w:r>
        <w:rPr>
          <w:rFonts w:hint="eastAsia"/>
        </w:rPr>
        <w:t>八、教学资源</w:t>
      </w:r>
      <w:bookmarkEnd w:id="34"/>
      <w:bookmarkEnd w:id="35"/>
      <w:bookmarkEnd w:id="36"/>
    </w:p>
    <w:p w14:paraId="790C8E27">
      <w:pPr>
        <w:pStyle w:val="3"/>
        <w:ind w:firstLine="560"/>
        <w:rPr>
          <w:rFonts w:hint="eastAsia"/>
        </w:rPr>
      </w:pPr>
      <w:bookmarkStart w:id="37" w:name="_Toc20587"/>
      <w:bookmarkStart w:id="38" w:name="_Toc16925"/>
      <w:r>
        <w:rPr>
          <w:rFonts w:hint="eastAsia"/>
        </w:rPr>
        <w:t>（一）主要参考教材</w:t>
      </w:r>
      <w:bookmarkEnd w:id="37"/>
      <w:bookmarkEnd w:id="38"/>
    </w:p>
    <w:p w14:paraId="02D8A6F4">
      <w:pPr>
        <w:rPr>
          <w:rFonts w:hint="default" w:eastAsia="仿宋_GB2312"/>
          <w:lang w:val="en-US" w:eastAsia="zh-CN"/>
        </w:rPr>
      </w:pPr>
      <w:r>
        <w:rPr>
          <w:rFonts w:hint="eastAsia"/>
          <w:lang w:eastAsia="zh-CN"/>
        </w:rPr>
        <w:t>《</w:t>
      </w:r>
      <w:r>
        <w:rPr>
          <w:rFonts w:hint="eastAsia"/>
          <w:lang w:val="en-US" w:eastAsia="zh-CN"/>
        </w:rPr>
        <w:t>基础会计（第10版）</w:t>
      </w:r>
      <w:r>
        <w:rPr>
          <w:rFonts w:hint="eastAsia"/>
          <w:lang w:eastAsia="zh-CN"/>
        </w:rPr>
        <w:t>》，</w:t>
      </w:r>
      <w:r>
        <w:rPr>
          <w:rFonts w:hint="eastAsia"/>
          <w:lang w:val="en-US" w:eastAsia="zh-CN"/>
        </w:rPr>
        <w:t>任延东 景冬梅主编 立信会计出版社</w:t>
      </w:r>
    </w:p>
    <w:p w14:paraId="7AF20F81">
      <w:pPr>
        <w:pStyle w:val="3"/>
        <w:ind w:firstLine="560"/>
      </w:pPr>
      <w:bookmarkStart w:id="39" w:name="_Toc17555"/>
      <w:bookmarkStart w:id="40" w:name="_Toc29665"/>
      <w:r>
        <w:rPr>
          <w:rFonts w:hint="eastAsia"/>
        </w:rPr>
        <w:t>（二）其他参考资料</w:t>
      </w:r>
      <w:bookmarkEnd w:id="39"/>
      <w:bookmarkEnd w:id="40"/>
    </w:p>
    <w:p w14:paraId="01DC1869">
      <w:pPr>
        <w:pStyle w:val="3"/>
        <w:ind w:firstLine="560"/>
      </w:pPr>
      <w:bookmarkStart w:id="41" w:name="_Toc21776"/>
      <w:bookmarkStart w:id="42" w:name="_Toc27934"/>
      <w:r>
        <w:rPr>
          <w:rFonts w:hint="eastAsia"/>
        </w:rPr>
        <w:t>（三）实训条件</w:t>
      </w:r>
      <w:bookmarkEnd w:id="41"/>
      <w:bookmarkEnd w:id="42"/>
    </w:p>
    <w:p w14:paraId="73A11363">
      <w:pPr>
        <w:spacing w:line="360" w:lineRule="auto"/>
        <w:ind w:firstLine="560"/>
        <w:rPr>
          <w:rFonts w:hint="default" w:eastAsia="仿宋_GB2312"/>
          <w:lang w:val="en-US" w:eastAsia="zh-CN"/>
        </w:rPr>
      </w:pPr>
      <w:r>
        <w:rPr>
          <w:rFonts w:hint="eastAsia"/>
        </w:rPr>
        <w:t>1.硬件设施：</w:t>
      </w:r>
      <w:r>
        <w:rPr>
          <w:rFonts w:hint="eastAsia"/>
          <w:lang w:val="en-US" w:eastAsia="zh-CN"/>
        </w:rPr>
        <w:t>多媒体教室、会计实训室</w:t>
      </w:r>
    </w:p>
    <w:p w14:paraId="0571B35C">
      <w:pPr>
        <w:spacing w:line="360" w:lineRule="auto"/>
        <w:ind w:firstLine="560"/>
        <w:rPr>
          <w:rFonts w:hint="default"/>
          <w:lang w:val="en-US" w:eastAsia="zh-CN"/>
        </w:rPr>
      </w:pPr>
      <w:r>
        <w:rPr>
          <w:rFonts w:hint="eastAsia"/>
        </w:rPr>
        <w:t>2.软件设施：</w:t>
      </w:r>
      <w:r>
        <w:rPr>
          <w:rFonts w:hint="eastAsia"/>
          <w:lang w:val="en-US" w:eastAsia="zh-CN"/>
        </w:rPr>
        <w:t>做账软件系统、用友 BIP 数据中台（教学版）、UiPath RPA 工具（基础版）</w:t>
      </w:r>
    </w:p>
    <w:p w14:paraId="75FA7429">
      <w:pPr>
        <w:pStyle w:val="3"/>
        <w:ind w:firstLine="560"/>
        <w:rPr>
          <w:rFonts w:hint="eastAsia"/>
        </w:rPr>
      </w:pPr>
      <w:bookmarkStart w:id="43" w:name="_Toc7079"/>
      <w:bookmarkStart w:id="44" w:name="_Toc29888"/>
      <w:r>
        <w:rPr>
          <w:rFonts w:hint="eastAsia"/>
        </w:rPr>
        <w:t>（四）信息化教学资源</w:t>
      </w:r>
      <w:bookmarkEnd w:id="43"/>
      <w:bookmarkEnd w:id="44"/>
    </w:p>
    <w:p w14:paraId="393600CF">
      <w:pPr>
        <w:spacing w:line="360" w:lineRule="auto"/>
        <w:ind w:firstLine="560"/>
        <w:rPr>
          <w:rFonts w:hint="eastAsia"/>
        </w:rPr>
      </w:pPr>
      <w:r>
        <w:rPr>
          <w:rFonts w:hint="eastAsia"/>
          <w:lang w:val="en-US" w:eastAsia="zh-CN"/>
        </w:rPr>
        <w:t xml:space="preserve">电子课件、投影、视频、音频、多媒体教学软件。其中有 </w:t>
      </w:r>
    </w:p>
    <w:p w14:paraId="6D8E7270">
      <w:pPr>
        <w:spacing w:line="360" w:lineRule="auto"/>
        <w:ind w:firstLine="560"/>
        <w:rPr>
          <w:rFonts w:hint="eastAsia"/>
        </w:rPr>
      </w:pPr>
      <w:r>
        <w:rPr>
          <w:rFonts w:hint="eastAsia"/>
          <w:lang w:val="en-US" w:eastAsia="zh-CN"/>
        </w:rPr>
        <w:t xml:space="preserve">关基本业务办理流程、建立账簿、登记账簿、填制有关单据等 </w:t>
      </w:r>
    </w:p>
    <w:p w14:paraId="00826EB8">
      <w:pPr>
        <w:spacing w:line="360" w:lineRule="auto"/>
        <w:ind w:firstLine="560"/>
        <w:rPr>
          <w:rFonts w:hint="eastAsia"/>
        </w:rPr>
      </w:pPr>
      <w:r>
        <w:rPr>
          <w:rFonts w:hint="eastAsia"/>
          <w:lang w:val="en-US" w:eastAsia="zh-CN"/>
        </w:rPr>
        <w:t>规范操作等内容可采用视频、动画、电子课件投影等进行教学。</w:t>
      </w:r>
    </w:p>
    <w:p w14:paraId="138859E1">
      <w:pPr>
        <w:spacing w:line="360" w:lineRule="auto"/>
        <w:ind w:firstLine="560"/>
        <w:rPr>
          <w:rFonts w:hint="eastAsia"/>
          <w:lang w:val="en-US" w:eastAsia="zh-CN"/>
        </w:rPr>
      </w:pPr>
      <w:r>
        <w:rPr>
          <w:rFonts w:hint="eastAsia"/>
          <w:lang w:val="en-US" w:eastAsia="zh-CN"/>
        </w:rPr>
        <w:t>GPT-4V 教学演示账号、工信部 “智能财税应用师” 认证培训资源</w:t>
      </w:r>
    </w:p>
    <w:p w14:paraId="5BBE0D6B">
      <w:pPr>
        <w:pStyle w:val="2"/>
        <w:numPr>
          <w:ilvl w:val="0"/>
          <w:numId w:val="4"/>
        </w:numPr>
        <w:ind w:firstLine="653"/>
        <w:rPr>
          <w:rFonts w:hint="eastAsia"/>
        </w:rPr>
      </w:pPr>
      <w:bookmarkStart w:id="45" w:name="_Toc12227"/>
      <w:bookmarkStart w:id="46" w:name="_Toc6694"/>
      <w:bookmarkStart w:id="47" w:name="_Hlk90479468"/>
      <w:r>
        <w:rPr>
          <w:rFonts w:hint="eastAsia"/>
        </w:rPr>
        <w:t>师资要求</w:t>
      </w:r>
      <w:bookmarkEnd w:id="45"/>
      <w:bookmarkEnd w:id="46"/>
    </w:p>
    <w:p w14:paraId="6EDD1C30">
      <w:pPr>
        <w:keepNext w:val="0"/>
        <w:keepLines w:val="0"/>
        <w:widowControl/>
        <w:suppressLineNumbers w:val="0"/>
        <w:jc w:val="left"/>
        <w:rPr>
          <w:rFonts w:hint="eastAsia"/>
          <w:lang w:val="en-US" w:eastAsia="zh-CN"/>
        </w:rPr>
      </w:pPr>
      <w:r>
        <w:rPr>
          <w:rFonts w:hint="eastAsia"/>
          <w:lang w:val="en-US" w:eastAsia="zh-CN"/>
        </w:rPr>
        <w:t>有完成专业教学任务所必需的教师队伍，课程负责人需持有工信部 “大数据工程师” 或 “</w:t>
      </w:r>
      <w:bookmarkStart w:id="51" w:name="_GoBack"/>
      <w:bookmarkEnd w:id="51"/>
      <w:r>
        <w:rPr>
          <w:rFonts w:hint="eastAsia"/>
          <w:lang w:val="en-US" w:eastAsia="zh-CN"/>
        </w:rPr>
        <w:t>智能财税应用师” 证书</w:t>
      </w:r>
      <w:r>
        <w:rPr>
          <w:rFonts w:hint="default"/>
          <w:lang w:val="en-US" w:eastAsia="zh-CN"/>
        </w:rPr>
        <w:t>，具备 2 年以上企业数据治理项目经验。具有学历达到国家有关规定的专任教师 6 人以上，其中承担专业核心课程教学任务的专业教师不少于 3 人，均需掌握 Python 基础编程，具有中级以上专业技术职务的不少于 1 人；有实践经验的行业企业兼职专业教师不少于 2 人（需具备用友 BIP 实施经验）；有一定数量的教学辅助人员。</w:t>
      </w:r>
    </w:p>
    <w:p w14:paraId="75415DBC">
      <w:pPr>
        <w:numPr>
          <w:ilvl w:val="0"/>
          <w:numId w:val="0"/>
        </w:numPr>
      </w:pPr>
    </w:p>
    <w:p w14:paraId="4CBADBFB">
      <w:pPr>
        <w:pStyle w:val="2"/>
        <w:ind w:firstLine="653"/>
      </w:pPr>
      <w:bookmarkStart w:id="48" w:name="_Toc3001"/>
      <w:bookmarkStart w:id="49" w:name="_Toc502337269"/>
      <w:bookmarkStart w:id="50" w:name="_Toc29184"/>
      <w:r>
        <w:rPr>
          <w:rFonts w:hint="eastAsia"/>
        </w:rPr>
        <w:t>十、其它说明</w:t>
      </w:r>
      <w:bookmarkEnd w:id="48"/>
      <w:bookmarkEnd w:id="49"/>
      <w:bookmarkEnd w:id="50"/>
    </w:p>
    <w:bookmarkEnd w:id="3"/>
    <w:bookmarkEnd w:id="4"/>
    <w:bookmarkEnd w:id="5"/>
    <w:bookmarkEnd w:id="47"/>
    <w:p w14:paraId="57BE332C">
      <w:pPr>
        <w:ind w:firstLine="560"/>
        <w:rPr>
          <w:rFonts w:hint="eastAsia" w:ascii="仿宋_GB2312" w:hAnsi="宋体" w:eastAsia="仿宋_GB2312" w:cs="宋体"/>
          <w:kern w:val="0"/>
          <w:szCs w:val="28"/>
          <w:lang w:val="en-US" w:eastAsia="zh-CN"/>
        </w:rPr>
      </w:pPr>
      <w:r>
        <w:rPr>
          <w:rFonts w:hint="eastAsia" w:ascii="仿宋_GB2312" w:hAnsi="宋体" w:cs="宋体"/>
          <w:kern w:val="0"/>
          <w:szCs w:val="28"/>
          <w:lang w:val="en-US" w:eastAsia="zh-CN"/>
        </w:rPr>
        <w:t>无</w:t>
      </w:r>
    </w:p>
    <w:sectPr>
      <w:headerReference r:id="rId12" w:type="default"/>
      <w:footerReference r:id="rId13" w:type="default"/>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C97BEF8-3F13-4F57-AE5D-6C8CC6E1E1A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B3A87238-C3D0-4122-91FD-345EA1904DF9}"/>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200247B" w:usb2="00000009" w:usb3="00000000" w:csb0="200001FF" w:csb1="00000000"/>
  </w:font>
  <w:font w:name="方正流行体简体">
    <w:altName w:val="微软雅黑"/>
    <w:panose1 w:val="020B0604020202020204"/>
    <w:charset w:val="86"/>
    <w:family w:val="script"/>
    <w:pitch w:val="default"/>
    <w:sig w:usb0="00000000" w:usb1="00000000" w:usb2="00000000" w:usb3="00000000" w:csb0="00040000" w:csb1="00000000"/>
    <w:embedRegular r:id="rId3" w:fontKey="{304F88BF-AA4C-4D43-8FE4-9D9A7153A5FA}"/>
  </w:font>
  <w:font w:name="微软雅黑">
    <w:panose1 w:val="020B0503020204020204"/>
    <w:charset w:val="86"/>
    <w:family w:val="auto"/>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embedRegular r:id="rId4" w:fontKey="{F08E92AE-6C35-4DF9-98E5-F22CDFCCB680}"/>
  </w:font>
  <w:font w:name="楷体">
    <w:panose1 w:val="02010609060101010101"/>
    <w:charset w:val="86"/>
    <w:family w:val="modern"/>
    <w:pitch w:val="default"/>
    <w:sig w:usb0="800002BF" w:usb1="38CF7CFA" w:usb2="00000016" w:usb3="00000000" w:csb0="00040001" w:csb1="00000000"/>
    <w:embedRegular r:id="rId5" w:fontKey="{4C07D914-380D-4CEB-B020-52F4B4B88DBD}"/>
  </w:font>
  <w:font w:name="方正仿宋_GB2312">
    <w:panose1 w:val="02000000000000000000"/>
    <w:charset w:val="86"/>
    <w:family w:val="auto"/>
    <w:pitch w:val="default"/>
    <w:sig w:usb0="A00002BF" w:usb1="184F6CFA" w:usb2="00000012" w:usb3="00000000" w:csb0="00040001" w:csb1="00000000"/>
    <w:embedRegular r:id="rId6" w:fontKey="{F95474CC-D069-4AD8-B88D-5E5F72B680B5}"/>
  </w:font>
  <w:font w:name="仿宋">
    <w:panose1 w:val="02010609060101010101"/>
    <w:charset w:val="86"/>
    <w:family w:val="modern"/>
    <w:pitch w:val="default"/>
    <w:sig w:usb0="800002BF" w:usb1="38CF7CFA" w:usb2="00000016" w:usb3="00000000" w:csb0="00040001" w:csb1="00000000"/>
    <w:embedRegular r:id="rId7" w:fontKey="{A7F53E3D-DFED-4E47-9E64-F2812883530B}"/>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70BCA">
    <w:pPr>
      <w:pStyle w:val="8"/>
      <w:ind w:firstLine="360"/>
      <w:jc w:val="center"/>
    </w:pPr>
    <w:r>
      <w:rPr>
        <w:lang w:val="zh-CN"/>
      </w:rPr>
      <w:t xml:space="preserve"> </w:t>
    </w:r>
  </w:p>
  <w:p w14:paraId="449C1408">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53460">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F800D">
    <w:pPr>
      <w:pStyle w:val="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3A16AC">
    <w:pPr>
      <w:pStyle w:val="8"/>
      <w:ind w:firstLine="360"/>
      <w:jc w:val="center"/>
    </w:pPr>
    <w:r>
      <w:rPr>
        <w:lang w:val="zh-CN"/>
      </w:rPr>
      <w:t xml:space="preserve"> </w:t>
    </w:r>
  </w:p>
  <w:p w14:paraId="7384CB6D">
    <w:pPr>
      <w:pStyle w:val="8"/>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F9A68">
    <w:pPr>
      <w:pStyle w:val="8"/>
      <w:ind w:firstLine="360"/>
      <w:jc w:val="center"/>
    </w:pPr>
    <w:r>
      <w:rPr>
        <w:lang w:val="zh-CN"/>
      </w:rPr>
      <w:t xml:space="preserve"> </w:t>
    </w:r>
  </w:p>
  <w:p w14:paraId="34334021">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849AC">
    <w:pPr>
      <w:pStyle w:val="9"/>
      <w:pBdr>
        <w:bottom w:val="none" w:color="auto" w:sz="0" w:space="1"/>
      </w:pBdr>
      <w:spacing w:line="240" w:lineRule="atLeast"/>
      <w:ind w:firstLine="180" w:firstLineChars="100"/>
      <w:jc w:val="both"/>
      <w:rPr>
        <w:rFonts w:eastAsia="方正流行体简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F45177">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71B80">
    <w:pPr>
      <w:pStyle w:val="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56A6B">
    <w:pPr>
      <w:pStyle w:val="9"/>
      <w:pBdr>
        <w:bottom w:val="none" w:color="auto" w:sz="0" w:space="1"/>
      </w:pBdr>
      <w:spacing w:line="240" w:lineRule="atLeast"/>
      <w:ind w:firstLine="180" w:firstLineChars="100"/>
      <w:jc w:val="both"/>
      <w:rPr>
        <w:rFonts w:eastAsia="方正流行体简体"/>
      </w:rPr>
    </w:pPr>
    <w:r>
      <w:rPr>
        <w:rFonts w:hint="eastAsia" w:eastAsia="方正流行体简体"/>
      </w:rPr>
      <w:drawing>
        <wp:inline distT="0" distB="0" distL="114300" distR="114300">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EA0702"/>
    <w:multiLevelType w:val="singleLevel"/>
    <w:tmpl w:val="86EA0702"/>
    <w:lvl w:ilvl="0" w:tentative="0">
      <w:start w:val="2"/>
      <w:numFmt w:val="decimal"/>
      <w:lvlText w:val="%1."/>
      <w:lvlJc w:val="left"/>
      <w:pPr>
        <w:tabs>
          <w:tab w:val="left" w:pos="312"/>
        </w:tabs>
      </w:pPr>
    </w:lvl>
  </w:abstractNum>
  <w:abstractNum w:abstractNumId="1">
    <w:nsid w:val="9C46F812"/>
    <w:multiLevelType w:val="singleLevel"/>
    <w:tmpl w:val="9C46F812"/>
    <w:lvl w:ilvl="0" w:tentative="0">
      <w:start w:val="2"/>
      <w:numFmt w:val="chineseCounting"/>
      <w:suff w:val="nothing"/>
      <w:lvlText w:val="%1、"/>
      <w:lvlJc w:val="left"/>
      <w:rPr>
        <w:rFonts w:hint="eastAsia"/>
      </w:rPr>
    </w:lvl>
  </w:abstractNum>
  <w:abstractNum w:abstractNumId="2">
    <w:nsid w:val="F0B65D5E"/>
    <w:multiLevelType w:val="singleLevel"/>
    <w:tmpl w:val="F0B65D5E"/>
    <w:lvl w:ilvl="0" w:tentative="0">
      <w:start w:val="9"/>
      <w:numFmt w:val="chineseCounting"/>
      <w:suff w:val="nothing"/>
      <w:lvlText w:val="%1、"/>
      <w:lvlJc w:val="left"/>
      <w:rPr>
        <w:rFonts w:hint="eastAsia"/>
      </w:rPr>
    </w:lvl>
  </w:abstractNum>
  <w:abstractNum w:abstractNumId="3">
    <w:nsid w:val="2A23BC07"/>
    <w:multiLevelType w:val="singleLevel"/>
    <w:tmpl w:val="2A23BC07"/>
    <w:lvl w:ilvl="0" w:tentative="0">
      <w:start w:val="1"/>
      <w:numFmt w:val="chineseCounting"/>
      <w:suff w:val="nothing"/>
      <w:lvlText w:val="（%1）"/>
      <w:lvlJc w:val="left"/>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2M2NmNGMxMDg2YzBkOTQ1ZjVhOTEzZWJjNTQxNTIifQ=="/>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B79"/>
    <w:rsid w:val="001B6CE5"/>
    <w:rsid w:val="001B77EB"/>
    <w:rsid w:val="001C2D0D"/>
    <w:rsid w:val="001C7F18"/>
    <w:rsid w:val="001E24DF"/>
    <w:rsid w:val="00236E56"/>
    <w:rsid w:val="0024285D"/>
    <w:rsid w:val="0024605A"/>
    <w:rsid w:val="00254379"/>
    <w:rsid w:val="0025646E"/>
    <w:rsid w:val="00256E2B"/>
    <w:rsid w:val="00257929"/>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63F44"/>
    <w:rsid w:val="00563FA7"/>
    <w:rsid w:val="00564686"/>
    <w:rsid w:val="005735A7"/>
    <w:rsid w:val="0057602E"/>
    <w:rsid w:val="00577132"/>
    <w:rsid w:val="00582729"/>
    <w:rsid w:val="005A700E"/>
    <w:rsid w:val="005B708F"/>
    <w:rsid w:val="005D7110"/>
    <w:rsid w:val="005F05C9"/>
    <w:rsid w:val="00603C22"/>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E2D"/>
    <w:rsid w:val="00FD7241"/>
    <w:rsid w:val="00FE1860"/>
    <w:rsid w:val="00FE6999"/>
    <w:rsid w:val="011D4067"/>
    <w:rsid w:val="04F36FCB"/>
    <w:rsid w:val="06264DD4"/>
    <w:rsid w:val="071F59E5"/>
    <w:rsid w:val="0B4B3EED"/>
    <w:rsid w:val="0CF462EF"/>
    <w:rsid w:val="13C6123F"/>
    <w:rsid w:val="152B70E8"/>
    <w:rsid w:val="15D56A42"/>
    <w:rsid w:val="169325B8"/>
    <w:rsid w:val="172F601F"/>
    <w:rsid w:val="1761002E"/>
    <w:rsid w:val="17735D8C"/>
    <w:rsid w:val="18493218"/>
    <w:rsid w:val="18BA29FE"/>
    <w:rsid w:val="1E0C36DB"/>
    <w:rsid w:val="2392755E"/>
    <w:rsid w:val="269B185D"/>
    <w:rsid w:val="273677B9"/>
    <w:rsid w:val="29790743"/>
    <w:rsid w:val="2D276405"/>
    <w:rsid w:val="2E7B7787"/>
    <w:rsid w:val="2F6A77B8"/>
    <w:rsid w:val="30611F0A"/>
    <w:rsid w:val="317D4E81"/>
    <w:rsid w:val="33670DA7"/>
    <w:rsid w:val="33BD324E"/>
    <w:rsid w:val="34710AAF"/>
    <w:rsid w:val="3A9340B4"/>
    <w:rsid w:val="3D7B2DC5"/>
    <w:rsid w:val="3DD96F86"/>
    <w:rsid w:val="3EBC5DDD"/>
    <w:rsid w:val="3FF42CA8"/>
    <w:rsid w:val="43D20AF8"/>
    <w:rsid w:val="44883AC1"/>
    <w:rsid w:val="44890655"/>
    <w:rsid w:val="47DB4379"/>
    <w:rsid w:val="489268FC"/>
    <w:rsid w:val="49564CEF"/>
    <w:rsid w:val="4CCD5FB7"/>
    <w:rsid w:val="4E053309"/>
    <w:rsid w:val="52F600A6"/>
    <w:rsid w:val="53596C0B"/>
    <w:rsid w:val="54A518C5"/>
    <w:rsid w:val="562A3B61"/>
    <w:rsid w:val="575F1A59"/>
    <w:rsid w:val="59B04FCC"/>
    <w:rsid w:val="5A502305"/>
    <w:rsid w:val="5A63129F"/>
    <w:rsid w:val="5ADE57B1"/>
    <w:rsid w:val="5BCF6EC1"/>
    <w:rsid w:val="5E8A4E8C"/>
    <w:rsid w:val="626A0316"/>
    <w:rsid w:val="64371EBE"/>
    <w:rsid w:val="685B2491"/>
    <w:rsid w:val="693A7EFE"/>
    <w:rsid w:val="694C5B6A"/>
    <w:rsid w:val="6C932E12"/>
    <w:rsid w:val="6D695A44"/>
    <w:rsid w:val="6E8A7606"/>
    <w:rsid w:val="702847D9"/>
    <w:rsid w:val="70D22201"/>
    <w:rsid w:val="72247BD2"/>
    <w:rsid w:val="727C6062"/>
    <w:rsid w:val="75C86E1A"/>
    <w:rsid w:val="76AA6A38"/>
    <w:rsid w:val="79363CA6"/>
    <w:rsid w:val="7AA3575A"/>
    <w:rsid w:val="7BB35BD5"/>
    <w:rsid w:val="7C482314"/>
    <w:rsid w:val="7D7E6007"/>
    <w:rsid w:val="7D973C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1160" w:firstLineChars="200"/>
      <w:jc w:val="both"/>
    </w:pPr>
    <w:rPr>
      <w:rFonts w:ascii="Times New Roman" w:hAnsi="Times New Roman" w:eastAsia="仿宋_GB2312" w:cs="Times New Roman"/>
      <w:kern w:val="2"/>
      <w:sz w:val="28"/>
      <w:szCs w:val="22"/>
      <w:lang w:val="en-US" w:eastAsia="zh-CN" w:bidi="ar-SA"/>
    </w:rPr>
  </w:style>
  <w:style w:type="paragraph" w:styleId="2">
    <w:name w:val="heading 1"/>
    <w:basedOn w:val="1"/>
    <w:next w:val="1"/>
    <w:link w:val="19"/>
    <w:qFormat/>
    <w:uiPriority w:val="0"/>
    <w:pPr>
      <w:keepNext/>
      <w:keepLines/>
      <w:spacing w:before="340" w:after="330" w:line="578" w:lineRule="auto"/>
      <w:outlineLvl w:val="0"/>
    </w:pPr>
    <w:rPr>
      <w:rFonts w:eastAsia="黑体"/>
      <w:b/>
      <w:bCs/>
      <w:kern w:val="44"/>
      <w:sz w:val="32"/>
      <w:szCs w:val="44"/>
    </w:rPr>
  </w:style>
  <w:style w:type="paragraph" w:styleId="3">
    <w:name w:val="heading 2"/>
    <w:basedOn w:val="1"/>
    <w:next w:val="1"/>
    <w:link w:val="20"/>
    <w:qFormat/>
    <w:uiPriority w:val="9"/>
    <w:pPr>
      <w:keepNext/>
      <w:keepLines/>
      <w:spacing w:before="260" w:after="260" w:line="440" w:lineRule="exact"/>
      <w:outlineLvl w:val="1"/>
    </w:pPr>
    <w:rPr>
      <w:b/>
      <w:bCs/>
      <w:szCs w:val="32"/>
    </w:rPr>
  </w:style>
  <w:style w:type="paragraph" w:styleId="4">
    <w:name w:val="heading 3"/>
    <w:basedOn w:val="1"/>
    <w:next w:val="1"/>
    <w:link w:val="21"/>
    <w:qFormat/>
    <w:uiPriority w:val="9"/>
    <w:pPr>
      <w:keepNext/>
      <w:keepLines/>
      <w:spacing w:before="260" w:after="260" w:line="360" w:lineRule="exact"/>
      <w:outlineLvl w:val="2"/>
    </w:pPr>
    <w:rPr>
      <w:bCs/>
      <w:szCs w:val="32"/>
    </w:rPr>
  </w:style>
  <w:style w:type="paragraph" w:styleId="5">
    <w:name w:val="heading 4"/>
    <w:basedOn w:val="1"/>
    <w:next w:val="1"/>
    <w:link w:val="22"/>
    <w:qFormat/>
    <w:uiPriority w:val="9"/>
    <w:pPr>
      <w:keepNext/>
      <w:keepLines/>
      <w:spacing w:before="280" w:after="290" w:line="376" w:lineRule="auto"/>
      <w:outlineLvl w:val="3"/>
    </w:pPr>
    <w:rPr>
      <w:rFonts w:ascii="Cambria" w:hAnsi="Cambria"/>
      <w:b/>
      <w:bCs/>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toc 3"/>
    <w:basedOn w:val="1"/>
    <w:next w:val="1"/>
    <w:qFormat/>
    <w:uiPriority w:val="39"/>
    <w:pPr>
      <w:ind w:left="840" w:leftChars="400"/>
    </w:pPr>
  </w:style>
  <w:style w:type="paragraph" w:styleId="7">
    <w:name w:val="Balloon Text"/>
    <w:basedOn w:val="1"/>
    <w:link w:val="18"/>
    <w:qFormat/>
    <w:uiPriority w:val="0"/>
    <w:rPr>
      <w:sz w:val="18"/>
      <w:szCs w:val="18"/>
    </w:rPr>
  </w:style>
  <w:style w:type="paragraph" w:styleId="8">
    <w:name w:val="footer"/>
    <w:basedOn w:val="1"/>
    <w:link w:val="29"/>
    <w:unhideWhenUsed/>
    <w:qFormat/>
    <w:uiPriority w:val="99"/>
    <w:pPr>
      <w:tabs>
        <w:tab w:val="center" w:pos="4153"/>
        <w:tab w:val="right" w:pos="8306"/>
      </w:tabs>
      <w:snapToGrid w:val="0"/>
      <w:jc w:val="left"/>
    </w:pPr>
    <w:rPr>
      <w:sz w:val="18"/>
      <w:szCs w:val="18"/>
    </w:rPr>
  </w:style>
  <w:style w:type="paragraph" w:styleId="9">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pPr>
      <w:spacing w:before="120" w:after="120"/>
      <w:jc w:val="left"/>
    </w:pPr>
    <w:rPr>
      <w:b/>
      <w:bCs/>
      <w:caps/>
      <w:szCs w:val="20"/>
    </w:rPr>
  </w:style>
  <w:style w:type="paragraph" w:styleId="11">
    <w:name w:val="table of figures"/>
    <w:basedOn w:val="1"/>
    <w:next w:val="1"/>
    <w:qFormat/>
    <w:uiPriority w:val="0"/>
    <w:pPr>
      <w:ind w:left="200" w:leftChars="200" w:hanging="200" w:hangingChars="200"/>
    </w:pPr>
  </w:style>
  <w:style w:type="paragraph" w:styleId="12">
    <w:name w:val="toc 2"/>
    <w:basedOn w:val="1"/>
    <w:next w:val="1"/>
    <w:unhideWhenUsed/>
    <w:qFormat/>
    <w:uiPriority w:val="39"/>
    <w:pPr>
      <w:ind w:left="210"/>
      <w:jc w:val="left"/>
    </w:pPr>
    <w:rPr>
      <w:smallCaps/>
      <w:sz w:val="24"/>
      <w:szCs w:val="20"/>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unhideWhenUsed/>
    <w:qFormat/>
    <w:uiPriority w:val="99"/>
    <w:rPr>
      <w:color w:val="0000FF"/>
      <w:u w:val="single"/>
    </w:rPr>
  </w:style>
  <w:style w:type="character" w:customStyle="1" w:styleId="18">
    <w:name w:val="批注框文本 字符"/>
    <w:basedOn w:val="15"/>
    <w:link w:val="7"/>
    <w:qFormat/>
    <w:uiPriority w:val="0"/>
    <w:rPr>
      <w:rFonts w:ascii="Calibri" w:hAnsi="Calibri"/>
      <w:kern w:val="2"/>
      <w:sz w:val="18"/>
      <w:szCs w:val="18"/>
    </w:rPr>
  </w:style>
  <w:style w:type="character" w:customStyle="1" w:styleId="19">
    <w:name w:val="标题 1 字符"/>
    <w:basedOn w:val="15"/>
    <w:link w:val="2"/>
    <w:qFormat/>
    <w:uiPriority w:val="0"/>
    <w:rPr>
      <w:rFonts w:ascii="Calibri" w:hAnsi="Calibri" w:eastAsia="黑体"/>
      <w:b/>
      <w:bCs/>
      <w:kern w:val="44"/>
      <w:sz w:val="32"/>
      <w:szCs w:val="44"/>
    </w:rPr>
  </w:style>
  <w:style w:type="character" w:customStyle="1" w:styleId="20">
    <w:name w:val="标题 2 字符"/>
    <w:basedOn w:val="15"/>
    <w:link w:val="3"/>
    <w:qFormat/>
    <w:uiPriority w:val="9"/>
    <w:rPr>
      <w:rFonts w:ascii="Times New Roman" w:hAnsi="Times New Roman" w:eastAsia="仿宋_GB2312"/>
      <w:b/>
      <w:bCs/>
      <w:kern w:val="2"/>
      <w:sz w:val="28"/>
      <w:szCs w:val="32"/>
    </w:rPr>
  </w:style>
  <w:style w:type="character" w:customStyle="1" w:styleId="21">
    <w:name w:val="标题 3 字符"/>
    <w:basedOn w:val="15"/>
    <w:link w:val="4"/>
    <w:qFormat/>
    <w:uiPriority w:val="9"/>
    <w:rPr>
      <w:rFonts w:ascii="Calibri" w:hAnsi="Calibri" w:eastAsia="仿宋_GB2312"/>
      <w:bCs/>
      <w:kern w:val="2"/>
      <w:sz w:val="28"/>
      <w:szCs w:val="32"/>
    </w:rPr>
  </w:style>
  <w:style w:type="character" w:customStyle="1" w:styleId="22">
    <w:name w:val="标题 4 字符"/>
    <w:basedOn w:val="15"/>
    <w:link w:val="5"/>
    <w:qFormat/>
    <w:uiPriority w:val="9"/>
    <w:rPr>
      <w:rFonts w:ascii="Cambria" w:hAnsi="Cambria"/>
      <w:b/>
      <w:bCs/>
      <w:kern w:val="2"/>
      <w:sz w:val="28"/>
      <w:szCs w:val="28"/>
    </w:rPr>
  </w:style>
  <w:style w:type="paragraph" w:customStyle="1" w:styleId="23">
    <w:name w:val="TOC 标题1"/>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paragraph" w:customStyle="1" w:styleId="24">
    <w:name w:val="WPSOffice手动目录 1"/>
    <w:qFormat/>
    <w:uiPriority w:val="0"/>
    <w:rPr>
      <w:rFonts w:ascii="Times New Roman" w:hAnsi="Times New Roman" w:eastAsia="宋体" w:cs="Times New Roman"/>
      <w:lang w:val="en-US" w:eastAsia="zh-CN" w:bidi="ar-SA"/>
    </w:rPr>
  </w:style>
  <w:style w:type="paragraph" w:customStyle="1" w:styleId="25">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6">
    <w:name w:val="style41"/>
    <w:basedOn w:val="15"/>
    <w:qFormat/>
    <w:uiPriority w:val="0"/>
    <w:rPr>
      <w:sz w:val="18"/>
    </w:rPr>
  </w:style>
  <w:style w:type="paragraph" w:customStyle="1" w:styleId="27">
    <w:name w:val="msolistparagraph"/>
    <w:basedOn w:val="1"/>
    <w:qFormat/>
    <w:uiPriority w:val="0"/>
    <w:pPr>
      <w:ind w:firstLine="420"/>
    </w:pPr>
    <w:rPr>
      <w:rFonts w:ascii="Calibri" w:hAnsi="Calibri" w:eastAsia="宋体"/>
      <w:sz w:val="21"/>
    </w:rPr>
  </w:style>
  <w:style w:type="paragraph" w:customStyle="1" w:styleId="28">
    <w:name w:val="Table Paragraph"/>
    <w:basedOn w:val="1"/>
    <w:qFormat/>
    <w:uiPriority w:val="1"/>
    <w:pPr>
      <w:autoSpaceDE w:val="0"/>
      <w:autoSpaceDN w:val="0"/>
      <w:spacing w:line="240" w:lineRule="auto"/>
      <w:ind w:firstLine="0" w:firstLineChars="0"/>
      <w:jc w:val="left"/>
    </w:pPr>
    <w:rPr>
      <w:rFonts w:ascii="宋体" w:hAnsi="宋体" w:eastAsia="宋体" w:cs="宋体"/>
      <w:kern w:val="0"/>
      <w:sz w:val="22"/>
      <w:lang w:val="zh-CN" w:bidi="zh-CN"/>
    </w:rPr>
  </w:style>
  <w:style w:type="character" w:customStyle="1" w:styleId="29">
    <w:name w:val="页脚 字符"/>
    <w:basedOn w:val="15"/>
    <w:link w:val="8"/>
    <w:qFormat/>
    <w:uiPriority w:val="99"/>
    <w:rPr>
      <w:rFonts w:eastAsia="仿宋_GB2312"/>
      <w:kern w:val="2"/>
      <w:sz w:val="18"/>
      <w:szCs w:val="18"/>
    </w:rPr>
  </w:style>
  <w:style w:type="character" w:customStyle="1" w:styleId="30">
    <w:name w:val="页眉 字符"/>
    <w:basedOn w:val="15"/>
    <w:link w:val="9"/>
    <w:qFormat/>
    <w:uiPriority w:val="99"/>
    <w:rPr>
      <w:rFonts w:eastAsia="仿宋_GB2312"/>
      <w:kern w:val="2"/>
      <w:sz w:val="18"/>
      <w:szCs w:val="18"/>
    </w:rPr>
  </w:style>
  <w:style w:type="paragraph" w:styleId="31">
    <w:name w:val="List Paragraph"/>
    <w:basedOn w:val="1"/>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4544</Words>
  <Characters>4633</Characters>
  <Lines>15</Lines>
  <Paragraphs>5</Paragraphs>
  <TotalTime>25</TotalTime>
  <ScaleCrop>false</ScaleCrop>
  <LinksUpToDate>false</LinksUpToDate>
  <CharactersWithSpaces>4824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2024-07-04T08:12:00Z</dcterms:created>
  <dc:creator>玄冰石</dc:creator>
  <cp:lastModifiedBy>廖泱泱～</cp:lastModifiedBy>
  <cp:lastPrinted>2024-07-02T05:20:00Z</cp:lastPrinted>
  <dcterms:modified xsi:type="dcterms:W3CDTF">2025-08-18T08:00:27Z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302DAE24A23B41B6B46D4D8CA276A859_13</vt:lpwstr>
  </property>
  <property fmtid="{D5CDD505-2E9C-101B-9397-08002B2CF9AE}" pid="4" name="KSOTemplateDocerSaveRecord">
    <vt:lpwstr>eyJoZGlkIjoiODJjZmQ3OTc2NTJiY2U4YmFhM2E5YzQwMmZkMWQzYzEiLCJ1c2VySWQiOiI0ODY5MTgwNDgifQ==</vt:lpwstr>
  </property>
</Properties>
</file>